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DD" w:rsidRDefault="001535DD" w:rsidP="001535DD">
      <w:pPr>
        <w:spacing w:after="160" w:line="259" w:lineRule="auto"/>
        <w:jc w:val="center"/>
        <w:rPr>
          <w:noProof/>
          <w:sz w:val="24"/>
          <w:szCs w:val="24"/>
        </w:rPr>
      </w:pPr>
    </w:p>
    <w:p w:rsidR="00005ACB" w:rsidRDefault="00005ACB" w:rsidP="001535DD">
      <w:pPr>
        <w:spacing w:after="160" w:line="259" w:lineRule="auto"/>
        <w:jc w:val="center"/>
        <w:rPr>
          <w:noProof/>
          <w:sz w:val="24"/>
          <w:szCs w:val="24"/>
        </w:rPr>
      </w:pPr>
    </w:p>
    <w:p w:rsidR="00005ACB" w:rsidRDefault="00005ACB" w:rsidP="001535DD">
      <w:pPr>
        <w:spacing w:after="160" w:line="259" w:lineRule="auto"/>
        <w:jc w:val="center"/>
        <w:rPr>
          <w:sz w:val="24"/>
          <w:szCs w:val="24"/>
          <w:lang w:val="en-US"/>
        </w:rPr>
      </w:pPr>
    </w:p>
    <w:p w:rsidR="001535DD" w:rsidRPr="004C14FF" w:rsidRDefault="001535DD" w:rsidP="001535DD">
      <w:pPr>
        <w:spacing w:after="160" w:line="259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1535DD" w:rsidRPr="0025472A" w:rsidRDefault="001535DD" w:rsidP="001535DD">
      <w:pPr>
        <w:spacing w:after="160" w:line="259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D7338B" w:rsidRDefault="00D7338B" w:rsidP="00D7338B">
      <w:pPr>
        <w:jc w:val="both"/>
        <w:rPr>
          <w:b/>
          <w:sz w:val="28"/>
          <w:szCs w:val="28"/>
        </w:rPr>
      </w:pPr>
    </w:p>
    <w:p w:rsidR="001535DD" w:rsidRPr="001535DD" w:rsidRDefault="001535DD" w:rsidP="001535D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1535DD">
        <w:rPr>
          <w:sz w:val="28"/>
          <w:szCs w:val="28"/>
        </w:rPr>
        <w:t>т 10 марта 2020 г. № 81</w:t>
      </w:r>
    </w:p>
    <w:p w:rsidR="00D7338B" w:rsidRPr="001535DD" w:rsidRDefault="001535DD" w:rsidP="001535D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 w:rsidRPr="001535DD">
        <w:rPr>
          <w:sz w:val="28"/>
          <w:szCs w:val="28"/>
        </w:rPr>
        <w:t>.К</w:t>
      </w:r>
      <w:proofErr w:type="gramEnd"/>
      <w:r w:rsidRPr="001535DD">
        <w:rPr>
          <w:sz w:val="28"/>
          <w:szCs w:val="28"/>
        </w:rPr>
        <w:t>ызыл</w:t>
      </w:r>
    </w:p>
    <w:p w:rsidR="00D7338B" w:rsidRDefault="00D7338B" w:rsidP="00D7338B">
      <w:pPr>
        <w:shd w:val="clear" w:color="auto" w:fill="FFFFFF"/>
        <w:rPr>
          <w:b/>
          <w:sz w:val="28"/>
          <w:szCs w:val="28"/>
        </w:rPr>
      </w:pPr>
    </w:p>
    <w:p w:rsidR="00D7338B" w:rsidRDefault="00D7338B" w:rsidP="00D7338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накопления </w:t>
      </w:r>
    </w:p>
    <w:p w:rsidR="00D7338B" w:rsidRDefault="00D7338B" w:rsidP="00D7338B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твердых коммунальных отходов (в том числе </w:t>
      </w:r>
      <w:proofErr w:type="gramEnd"/>
    </w:p>
    <w:p w:rsidR="00D7338B" w:rsidRDefault="00D7338B" w:rsidP="00D7338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их раздельного накопления) на территории </w:t>
      </w:r>
    </w:p>
    <w:p w:rsidR="00D7338B" w:rsidRDefault="00D7338B" w:rsidP="00D7338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Тыва</w:t>
      </w:r>
    </w:p>
    <w:p w:rsidR="001535DD" w:rsidRPr="00A8427C" w:rsidRDefault="001535DD" w:rsidP="00D7338B">
      <w:pPr>
        <w:shd w:val="clear" w:color="auto" w:fill="FFFFFF"/>
        <w:jc w:val="center"/>
        <w:rPr>
          <w:sz w:val="28"/>
          <w:szCs w:val="28"/>
        </w:rPr>
      </w:pPr>
    </w:p>
    <w:p w:rsidR="00D7338B" w:rsidRDefault="00D7338B" w:rsidP="00D7338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24 июня 1998 г. № 89-ФЗ «Об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ходах производства и потребления» и постановлением Правительства Российской Федерации от 31 августа 2018 г. № 1039 «Об утверждении правил обустройства мест (площадок) накопления твердых коммунальных отходов и ведения их реестра» </w:t>
      </w:r>
      <w:r w:rsidRPr="00FB31E5">
        <w:rPr>
          <w:sz w:val="28"/>
          <w:szCs w:val="28"/>
        </w:rPr>
        <w:t>Пр</w:t>
      </w:r>
      <w:r w:rsidRPr="00FB31E5">
        <w:rPr>
          <w:sz w:val="28"/>
          <w:szCs w:val="28"/>
        </w:rPr>
        <w:t>а</w:t>
      </w:r>
      <w:r w:rsidRPr="00FB31E5">
        <w:rPr>
          <w:sz w:val="28"/>
          <w:szCs w:val="28"/>
        </w:rPr>
        <w:t>вительство Республики Тыва ПОСТАНОВЛЯЕТ:</w:t>
      </w:r>
    </w:p>
    <w:p w:rsidR="00D7338B" w:rsidRDefault="00D7338B" w:rsidP="00D7338B">
      <w:pPr>
        <w:spacing w:line="360" w:lineRule="atLeast"/>
        <w:ind w:firstLine="709"/>
        <w:jc w:val="both"/>
        <w:rPr>
          <w:sz w:val="28"/>
          <w:szCs w:val="28"/>
        </w:rPr>
      </w:pPr>
    </w:p>
    <w:p w:rsidR="00D7338B" w:rsidRDefault="00D7338B" w:rsidP="00D7338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Порядок накопления твердых коммунальных отходов (в том числе их раздельного накопления) на территории Республики Тыва, утвержденный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Правительства Республики Тыва от 27 июня 2018 г. № 326, следующие изменения:</w:t>
      </w:r>
    </w:p>
    <w:p w:rsidR="00D7338B" w:rsidRDefault="00D7338B" w:rsidP="00D7338B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eastAsia="en-US"/>
        </w:rPr>
        <w:t>пункт 3.1 раздела 3 изложить в следующей редакции:</w:t>
      </w:r>
    </w:p>
    <w:p w:rsidR="00D7338B" w:rsidRDefault="00D7338B" w:rsidP="00D7338B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«3.1. В соответствии с договором на оказание услуг по обращению с ТКО в местах (площадках) накопления ТКО складирование ТКО осуществляется потреб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телями следующими способами:</w:t>
      </w:r>
    </w:p>
    <w:p w:rsidR="00D7338B" w:rsidRDefault="00D7338B" w:rsidP="00D7338B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 в контейнеры, расположенные в мусороприемных камерах (при наличии с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ответствующей внутридомовой инженерной системы);</w:t>
      </w:r>
    </w:p>
    <w:p w:rsidR="00D7338B" w:rsidRDefault="00D7338B" w:rsidP="00D7338B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 в контейнеры, бункеры, расположенные на контейнерных площадках;</w:t>
      </w:r>
    </w:p>
    <w:p w:rsidR="00D7338B" w:rsidRDefault="00D7338B" w:rsidP="00D7338B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в) в пакеты или другие емкости, предоставленные региональным операт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ром</w:t>
      </w:r>
      <w:proofErr w:type="gramStart"/>
      <w:r>
        <w:rPr>
          <w:sz w:val="28"/>
          <w:szCs w:val="28"/>
          <w:lang w:eastAsia="en-US"/>
        </w:rPr>
        <w:t>.»;</w:t>
      </w:r>
      <w:proofErr w:type="gramEnd"/>
    </w:p>
    <w:p w:rsidR="00D7338B" w:rsidRDefault="00D7338B" w:rsidP="00D7338B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в разделе 4:</w:t>
      </w:r>
    </w:p>
    <w:p w:rsidR="00D7338B" w:rsidRDefault="00D7338B" w:rsidP="00D7338B">
      <w:pPr>
        <w:pStyle w:val="a4"/>
        <w:overflowPunct/>
        <w:spacing w:line="360" w:lineRule="atLeast"/>
        <w:ind w:left="0"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 наименование изложить в следующей редакции:</w:t>
      </w:r>
    </w:p>
    <w:p w:rsidR="00CC60F9" w:rsidRDefault="00CC60F9" w:rsidP="00D7338B">
      <w:pPr>
        <w:pStyle w:val="a4"/>
        <w:overflowPunct/>
        <w:spacing w:line="360" w:lineRule="atLeast"/>
        <w:ind w:left="0" w:firstLine="709"/>
        <w:jc w:val="both"/>
        <w:textAlignment w:val="auto"/>
        <w:rPr>
          <w:sz w:val="28"/>
          <w:szCs w:val="28"/>
          <w:lang w:eastAsia="en-US"/>
        </w:rPr>
      </w:pPr>
    </w:p>
    <w:p w:rsidR="00D7338B" w:rsidRDefault="00D7338B" w:rsidP="00D7338B">
      <w:pPr>
        <w:pStyle w:val="a4"/>
        <w:overflowPunct/>
        <w:spacing w:line="360" w:lineRule="atLeast"/>
        <w:ind w:left="0" w:firstLine="709"/>
        <w:jc w:val="center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«4. Накопление ТКО в контейнеры, расположенные </w:t>
      </w:r>
      <w:proofErr w:type="gramStart"/>
      <w:r>
        <w:rPr>
          <w:sz w:val="28"/>
          <w:szCs w:val="28"/>
          <w:lang w:eastAsia="en-US"/>
        </w:rPr>
        <w:t>в</w:t>
      </w:r>
      <w:proofErr w:type="gramEnd"/>
      <w:r>
        <w:rPr>
          <w:sz w:val="28"/>
          <w:szCs w:val="28"/>
          <w:lang w:eastAsia="en-US"/>
        </w:rPr>
        <w:t xml:space="preserve"> </w:t>
      </w:r>
    </w:p>
    <w:p w:rsidR="00D7338B" w:rsidRDefault="00D7338B" w:rsidP="00D7338B">
      <w:pPr>
        <w:pStyle w:val="a4"/>
        <w:overflowPunct/>
        <w:spacing w:line="360" w:lineRule="atLeast"/>
        <w:ind w:left="0" w:firstLine="709"/>
        <w:jc w:val="center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мусороприемных </w:t>
      </w:r>
      <w:proofErr w:type="gramStart"/>
      <w:r>
        <w:rPr>
          <w:sz w:val="28"/>
          <w:szCs w:val="28"/>
          <w:lang w:eastAsia="en-US"/>
        </w:rPr>
        <w:t>камерах</w:t>
      </w:r>
      <w:proofErr w:type="gramEnd"/>
      <w:r>
        <w:rPr>
          <w:sz w:val="28"/>
          <w:szCs w:val="28"/>
          <w:lang w:eastAsia="en-US"/>
        </w:rPr>
        <w:t>»;</w:t>
      </w:r>
    </w:p>
    <w:p w:rsidR="00D7338B" w:rsidRDefault="00D7338B" w:rsidP="00D7338B">
      <w:pPr>
        <w:pStyle w:val="a4"/>
        <w:overflowPunct/>
        <w:spacing w:line="360" w:lineRule="atLeast"/>
        <w:ind w:left="0" w:firstLine="709"/>
        <w:jc w:val="center"/>
        <w:textAlignment w:val="auto"/>
        <w:rPr>
          <w:sz w:val="28"/>
          <w:szCs w:val="28"/>
          <w:lang w:eastAsia="en-US"/>
        </w:rPr>
      </w:pPr>
    </w:p>
    <w:p w:rsidR="00D7338B" w:rsidRDefault="00D7338B" w:rsidP="00D7338B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 в пункте 4.1 слова «мусоропроводы (мусороприемные камеры)» заменить словами «контейнеры, расположенные в мусороприемных камерах</w:t>
      </w:r>
      <w:proofErr w:type="gramStart"/>
      <w:r>
        <w:rPr>
          <w:sz w:val="28"/>
          <w:szCs w:val="28"/>
          <w:lang w:eastAsia="en-US"/>
        </w:rPr>
        <w:t>,»</w:t>
      </w:r>
      <w:proofErr w:type="gramEnd"/>
      <w:r>
        <w:rPr>
          <w:sz w:val="28"/>
          <w:szCs w:val="28"/>
          <w:lang w:eastAsia="en-US"/>
        </w:rPr>
        <w:t>;</w:t>
      </w:r>
    </w:p>
    <w:p w:rsidR="00D7338B" w:rsidRDefault="00D7338B" w:rsidP="00D7338B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в) в пункте 4.4 слова «мусороприемных камер» заменить словами «контейн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ров, расположенных в мусороприемных камерах</w:t>
      </w:r>
      <w:proofErr w:type="gramStart"/>
      <w:r>
        <w:rPr>
          <w:sz w:val="28"/>
          <w:szCs w:val="28"/>
          <w:lang w:eastAsia="en-US"/>
        </w:rPr>
        <w:t>,»</w:t>
      </w:r>
      <w:proofErr w:type="gramEnd"/>
      <w:r>
        <w:rPr>
          <w:sz w:val="28"/>
          <w:szCs w:val="28"/>
          <w:lang w:eastAsia="en-US"/>
        </w:rPr>
        <w:t>;</w:t>
      </w:r>
    </w:p>
    <w:p w:rsidR="00D7338B" w:rsidRDefault="00D7338B" w:rsidP="00D7338B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г) в пункте 4.5 слова «мусороприемных камер» заменить словами «контейн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ров, расположенных в мусороприемных камерах</w:t>
      </w:r>
      <w:proofErr w:type="gramStart"/>
      <w:r>
        <w:rPr>
          <w:sz w:val="28"/>
          <w:szCs w:val="28"/>
          <w:lang w:eastAsia="en-US"/>
        </w:rPr>
        <w:t>,»</w:t>
      </w:r>
      <w:proofErr w:type="gramEnd"/>
      <w:r>
        <w:rPr>
          <w:sz w:val="28"/>
          <w:szCs w:val="28"/>
          <w:lang w:eastAsia="en-US"/>
        </w:rPr>
        <w:t>;</w:t>
      </w:r>
    </w:p>
    <w:p w:rsidR="00D7338B" w:rsidRDefault="00D7338B" w:rsidP="00D7338B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д</w:t>
      </w:r>
      <w:proofErr w:type="spellEnd"/>
      <w:r>
        <w:rPr>
          <w:sz w:val="28"/>
          <w:szCs w:val="28"/>
          <w:lang w:eastAsia="en-US"/>
        </w:rPr>
        <w:t>) в пункте 4.7 слова «мусоропроводов, мусороприемных камер» заменить словами «внутридомовых инженерных систем, предназначенных для накопления ТКО</w:t>
      </w:r>
      <w:proofErr w:type="gramStart"/>
      <w:r>
        <w:rPr>
          <w:sz w:val="28"/>
          <w:szCs w:val="28"/>
          <w:lang w:eastAsia="en-US"/>
        </w:rPr>
        <w:t>,»</w:t>
      </w:r>
      <w:proofErr w:type="gramEnd"/>
      <w:r>
        <w:rPr>
          <w:sz w:val="28"/>
          <w:szCs w:val="28"/>
          <w:lang w:eastAsia="en-US"/>
        </w:rPr>
        <w:t>;</w:t>
      </w:r>
    </w:p>
    <w:p w:rsidR="00D7338B" w:rsidRDefault="00D7338B" w:rsidP="00D7338B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в разделе 5:</w:t>
      </w:r>
    </w:p>
    <w:p w:rsidR="00D7338B" w:rsidRDefault="00D7338B" w:rsidP="00D7338B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а) </w:t>
      </w:r>
      <w:r>
        <w:rPr>
          <w:sz w:val="28"/>
          <w:szCs w:val="28"/>
        </w:rPr>
        <w:t xml:space="preserve">пункт </w:t>
      </w:r>
      <w:r w:rsidRPr="00F33035">
        <w:rPr>
          <w:sz w:val="28"/>
          <w:szCs w:val="28"/>
        </w:rPr>
        <w:t xml:space="preserve">5.2 изложить в </w:t>
      </w:r>
      <w:r>
        <w:rPr>
          <w:sz w:val="28"/>
          <w:szCs w:val="28"/>
        </w:rPr>
        <w:t>следующей</w:t>
      </w:r>
      <w:r w:rsidRPr="00F33035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:rsidR="00D7338B" w:rsidRDefault="00D7338B" w:rsidP="00D7338B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 w:rsidRPr="003E4654">
        <w:rPr>
          <w:sz w:val="28"/>
          <w:szCs w:val="28"/>
        </w:rPr>
        <w:t>«</w:t>
      </w:r>
      <w:r>
        <w:rPr>
          <w:sz w:val="28"/>
          <w:szCs w:val="28"/>
        </w:rPr>
        <w:t xml:space="preserve">5.2. </w:t>
      </w:r>
      <w:r w:rsidRPr="003E4654">
        <w:rPr>
          <w:sz w:val="28"/>
          <w:szCs w:val="28"/>
          <w:lang w:eastAsia="en-US"/>
        </w:rPr>
        <w:t>Места (площадки) накопления</w:t>
      </w:r>
      <w:r>
        <w:rPr>
          <w:sz w:val="28"/>
          <w:szCs w:val="28"/>
          <w:lang w:eastAsia="en-US"/>
        </w:rPr>
        <w:t xml:space="preserve"> ТКО</w:t>
      </w:r>
      <w:r w:rsidRPr="003E4654">
        <w:rPr>
          <w:sz w:val="28"/>
          <w:szCs w:val="28"/>
          <w:lang w:eastAsia="en-US"/>
        </w:rPr>
        <w:t xml:space="preserve"> создаются органами местного сам</w:t>
      </w:r>
      <w:r w:rsidRPr="003E4654">
        <w:rPr>
          <w:sz w:val="28"/>
          <w:szCs w:val="28"/>
          <w:lang w:eastAsia="en-US"/>
        </w:rPr>
        <w:t>о</w:t>
      </w:r>
      <w:r w:rsidRPr="003E4654">
        <w:rPr>
          <w:sz w:val="28"/>
          <w:szCs w:val="28"/>
          <w:lang w:eastAsia="en-US"/>
        </w:rPr>
        <w:t>управления, за исключением установленных законодательством Российской Фед</w:t>
      </w:r>
      <w:r w:rsidRPr="003E4654">
        <w:rPr>
          <w:sz w:val="28"/>
          <w:szCs w:val="28"/>
          <w:lang w:eastAsia="en-US"/>
        </w:rPr>
        <w:t>е</w:t>
      </w:r>
      <w:r w:rsidRPr="003E4654">
        <w:rPr>
          <w:sz w:val="28"/>
          <w:szCs w:val="28"/>
          <w:lang w:eastAsia="en-US"/>
        </w:rPr>
        <w:t xml:space="preserve">рации случаев, когда такая обязанность лежит на других лицах. Органы местного самоуправления создают места (площадки) накопления </w:t>
      </w:r>
      <w:r>
        <w:rPr>
          <w:sz w:val="28"/>
          <w:szCs w:val="28"/>
          <w:lang w:eastAsia="en-US"/>
        </w:rPr>
        <w:t>ТКО</w:t>
      </w:r>
      <w:r w:rsidRPr="003E4654">
        <w:rPr>
          <w:sz w:val="28"/>
          <w:szCs w:val="28"/>
          <w:lang w:eastAsia="en-US"/>
        </w:rPr>
        <w:t xml:space="preserve"> путем принятия реш</w:t>
      </w:r>
      <w:r w:rsidRPr="003E4654">
        <w:rPr>
          <w:sz w:val="28"/>
          <w:szCs w:val="28"/>
          <w:lang w:eastAsia="en-US"/>
        </w:rPr>
        <w:t>е</w:t>
      </w:r>
      <w:r w:rsidRPr="003E4654">
        <w:rPr>
          <w:sz w:val="28"/>
          <w:szCs w:val="28"/>
          <w:lang w:eastAsia="en-US"/>
        </w:rPr>
        <w:t>ния в соответствии с требованиями правил благоустройства такого муниципального образования, требованиями законодательства Российской Федерации в области с</w:t>
      </w:r>
      <w:r w:rsidRPr="003E4654">
        <w:rPr>
          <w:sz w:val="28"/>
          <w:szCs w:val="28"/>
          <w:lang w:eastAsia="en-US"/>
        </w:rPr>
        <w:t>а</w:t>
      </w:r>
      <w:r w:rsidRPr="003E4654">
        <w:rPr>
          <w:sz w:val="28"/>
          <w:szCs w:val="28"/>
          <w:lang w:eastAsia="en-US"/>
        </w:rPr>
        <w:t>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</w:t>
      </w:r>
      <w:r w:rsidRPr="003E4654">
        <w:rPr>
          <w:sz w:val="28"/>
          <w:szCs w:val="28"/>
          <w:lang w:eastAsia="en-US"/>
        </w:rPr>
        <w:t>о</w:t>
      </w:r>
      <w:r w:rsidRPr="003E4654">
        <w:rPr>
          <w:sz w:val="28"/>
          <w:szCs w:val="28"/>
          <w:lang w:eastAsia="en-US"/>
        </w:rPr>
        <w:t xml:space="preserve">пления </w:t>
      </w:r>
      <w:r>
        <w:rPr>
          <w:sz w:val="28"/>
          <w:szCs w:val="28"/>
          <w:lang w:eastAsia="en-US"/>
        </w:rPr>
        <w:t>ТКО.</w:t>
      </w:r>
      <w:r w:rsidRPr="003E4654">
        <w:rPr>
          <w:sz w:val="28"/>
          <w:szCs w:val="28"/>
          <w:lang w:eastAsia="en-US"/>
        </w:rPr>
        <w:t>»;</w:t>
      </w:r>
    </w:p>
    <w:p w:rsidR="00D7338B" w:rsidRDefault="00D7338B" w:rsidP="00D7338B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 пункт 5.6 изложить в следующей редакции:</w:t>
      </w:r>
    </w:p>
    <w:p w:rsidR="00D7338B" w:rsidRDefault="00D7338B" w:rsidP="00D7338B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«5.6. Содержание мест (площадок) накопления ТКО относится к полномочиям органов местного самоуправления, за исключением установленных законодательс</w:t>
      </w: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>вом Российской Федерации случаев, когда такая обязанность лежит на других л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цах</w:t>
      </w:r>
      <w:proofErr w:type="gramStart"/>
      <w:r>
        <w:rPr>
          <w:sz w:val="28"/>
          <w:szCs w:val="28"/>
          <w:lang w:eastAsia="en-US"/>
        </w:rPr>
        <w:t>.»;</w:t>
      </w:r>
      <w:proofErr w:type="gramEnd"/>
    </w:p>
    <w:p w:rsidR="00D7338B" w:rsidRDefault="00D7338B" w:rsidP="00D7338B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в) в пункте 5.7 слова </w:t>
      </w:r>
      <w:r w:rsidRPr="00E84024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 xml:space="preserve">, </w:t>
      </w:r>
      <w:r w:rsidRPr="00E84024">
        <w:rPr>
          <w:sz w:val="28"/>
          <w:szCs w:val="28"/>
          <w:lang w:eastAsia="en-US"/>
        </w:rPr>
        <w:t xml:space="preserve">свободный доступ к контейнерам и содействие </w:t>
      </w:r>
      <w:r>
        <w:rPr>
          <w:sz w:val="28"/>
          <w:szCs w:val="28"/>
          <w:lang w:eastAsia="en-US"/>
        </w:rPr>
        <w:t xml:space="preserve">в </w:t>
      </w:r>
      <w:r w:rsidRPr="00E84024">
        <w:rPr>
          <w:sz w:val="28"/>
          <w:szCs w:val="28"/>
          <w:lang w:eastAsia="en-US"/>
        </w:rPr>
        <w:t>ок</w:t>
      </w:r>
      <w:r w:rsidRPr="00E84024">
        <w:rPr>
          <w:sz w:val="28"/>
          <w:szCs w:val="28"/>
          <w:lang w:eastAsia="en-US"/>
        </w:rPr>
        <w:t>а</w:t>
      </w:r>
      <w:r w:rsidRPr="00E84024">
        <w:rPr>
          <w:sz w:val="28"/>
          <w:szCs w:val="28"/>
          <w:lang w:eastAsia="en-US"/>
        </w:rPr>
        <w:t>зании услуг по транспортированию ТКО» исключить;</w:t>
      </w:r>
    </w:p>
    <w:p w:rsidR="00D7338B" w:rsidRDefault="00D7338B" w:rsidP="00D7338B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г) в</w:t>
      </w:r>
      <w:r w:rsidRPr="00C21E5C">
        <w:rPr>
          <w:sz w:val="28"/>
          <w:szCs w:val="28"/>
          <w:lang w:eastAsia="en-US"/>
        </w:rPr>
        <w:t xml:space="preserve"> пункте</w:t>
      </w:r>
      <w:r>
        <w:rPr>
          <w:sz w:val="28"/>
          <w:szCs w:val="28"/>
          <w:lang w:eastAsia="en-US"/>
        </w:rPr>
        <w:t xml:space="preserve"> </w:t>
      </w:r>
      <w:r w:rsidRPr="00C21E5C">
        <w:rPr>
          <w:sz w:val="28"/>
          <w:szCs w:val="28"/>
          <w:lang w:eastAsia="en-US"/>
        </w:rPr>
        <w:t>5.8 слова «или уполномоченное им лицо по транспортированию ТКО» исключить;</w:t>
      </w:r>
    </w:p>
    <w:p w:rsidR="00D7338B" w:rsidRDefault="00D7338B" w:rsidP="00D7338B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д</w:t>
      </w:r>
      <w:proofErr w:type="spellEnd"/>
      <w:r>
        <w:rPr>
          <w:sz w:val="28"/>
          <w:szCs w:val="28"/>
          <w:lang w:eastAsia="en-US"/>
        </w:rPr>
        <w:t>) в</w:t>
      </w:r>
      <w:r w:rsidRPr="000814B9">
        <w:rPr>
          <w:sz w:val="28"/>
          <w:szCs w:val="28"/>
          <w:lang w:eastAsia="en-US"/>
        </w:rPr>
        <w:t xml:space="preserve"> пункте 5.16 слова «с ма</w:t>
      </w:r>
      <w:bookmarkStart w:id="0" w:name="_GoBack"/>
      <w:bookmarkEnd w:id="0"/>
      <w:r w:rsidRPr="000814B9">
        <w:rPr>
          <w:sz w:val="28"/>
          <w:szCs w:val="28"/>
          <w:lang w:eastAsia="en-US"/>
        </w:rPr>
        <w:t>кси</w:t>
      </w:r>
      <w:r>
        <w:rPr>
          <w:sz w:val="28"/>
          <w:szCs w:val="28"/>
          <w:lang w:eastAsia="en-US"/>
        </w:rPr>
        <w:t>мально допустимым весом 30 тонн» искл</w:t>
      </w:r>
      <w:r>
        <w:rPr>
          <w:sz w:val="28"/>
          <w:szCs w:val="28"/>
          <w:lang w:eastAsia="en-US"/>
        </w:rPr>
        <w:t>ю</w:t>
      </w:r>
      <w:r>
        <w:rPr>
          <w:sz w:val="28"/>
          <w:szCs w:val="28"/>
          <w:lang w:eastAsia="en-US"/>
        </w:rPr>
        <w:t>чить;</w:t>
      </w:r>
    </w:p>
    <w:p w:rsidR="00D7338B" w:rsidRDefault="00D7338B" w:rsidP="00D7338B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е) пункт </w:t>
      </w:r>
      <w:r w:rsidRPr="000814B9">
        <w:rPr>
          <w:sz w:val="28"/>
          <w:szCs w:val="28"/>
          <w:lang w:eastAsia="en-US"/>
        </w:rPr>
        <w:t>5.17 признать утратившим силу.</w:t>
      </w:r>
    </w:p>
    <w:p w:rsidR="00D7338B" w:rsidRDefault="00D7338B" w:rsidP="00D7338B">
      <w:pPr>
        <w:overflowPunct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«Официальном интернет-портале правовой информации» </w:t>
      </w:r>
      <w:r w:rsidRPr="00FD6B79">
        <w:rPr>
          <w:sz w:val="28"/>
          <w:szCs w:val="28"/>
        </w:rPr>
        <w:t>(</w:t>
      </w:r>
      <w:hyperlink r:id="rId7" w:history="1">
        <w:r w:rsidRPr="00D7338B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D7338B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D7338B">
          <w:rPr>
            <w:rStyle w:val="a3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D7338B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D7338B">
          <w:rPr>
            <w:rStyle w:val="a3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D7338B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D7338B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D6B79">
        <w:rPr>
          <w:sz w:val="28"/>
          <w:szCs w:val="28"/>
        </w:rPr>
        <w:t>)</w:t>
      </w:r>
      <w:r>
        <w:rPr>
          <w:sz w:val="28"/>
          <w:szCs w:val="28"/>
        </w:rPr>
        <w:t xml:space="preserve"> и официальном сайте Республики Тыва в информационно-телекоммуникационной сети «Интернет».</w:t>
      </w:r>
    </w:p>
    <w:p w:rsidR="00D7338B" w:rsidRDefault="00D7338B" w:rsidP="00D7338B">
      <w:pPr>
        <w:jc w:val="both"/>
        <w:rPr>
          <w:sz w:val="28"/>
          <w:szCs w:val="28"/>
        </w:rPr>
      </w:pPr>
    </w:p>
    <w:p w:rsidR="007C30BB" w:rsidRDefault="00D7338B" w:rsidP="00D7338B">
      <w:pPr>
        <w:jc w:val="both"/>
      </w:pPr>
      <w:r w:rsidRPr="00D7338B">
        <w:rPr>
          <w:sz w:val="28"/>
          <w:szCs w:val="28"/>
        </w:rPr>
        <w:t>Глава Республики Тыва</w:t>
      </w:r>
      <w:r w:rsidRPr="00D7338B">
        <w:rPr>
          <w:sz w:val="28"/>
          <w:szCs w:val="28"/>
        </w:rPr>
        <w:tab/>
      </w:r>
      <w:r w:rsidRPr="00D7338B">
        <w:rPr>
          <w:sz w:val="28"/>
          <w:szCs w:val="28"/>
        </w:rPr>
        <w:tab/>
      </w:r>
      <w:r w:rsidRPr="00D7338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</w:t>
      </w:r>
      <w:r w:rsidRPr="00D7338B">
        <w:rPr>
          <w:sz w:val="28"/>
          <w:szCs w:val="28"/>
        </w:rPr>
        <w:t xml:space="preserve">Ш. </w:t>
      </w:r>
      <w:proofErr w:type="spellStart"/>
      <w:r w:rsidRPr="00D7338B">
        <w:rPr>
          <w:sz w:val="28"/>
          <w:szCs w:val="28"/>
        </w:rPr>
        <w:t>Кара-оол</w:t>
      </w:r>
      <w:proofErr w:type="spellEnd"/>
    </w:p>
    <w:sectPr w:rsidR="007C30BB" w:rsidSect="00D733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D61" w:rsidRDefault="00300D61" w:rsidP="00D7338B">
      <w:r>
        <w:separator/>
      </w:r>
    </w:p>
  </w:endnote>
  <w:endnote w:type="continuationSeparator" w:id="0">
    <w:p w:rsidR="00300D61" w:rsidRDefault="00300D61" w:rsidP="00D73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EC5" w:rsidRDefault="00C47EC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EC5" w:rsidRDefault="00C47EC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EC5" w:rsidRDefault="00C47EC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D61" w:rsidRDefault="00300D61" w:rsidP="00D7338B">
      <w:r>
        <w:separator/>
      </w:r>
    </w:p>
  </w:footnote>
  <w:footnote w:type="continuationSeparator" w:id="0">
    <w:p w:rsidR="00300D61" w:rsidRDefault="00300D61" w:rsidP="00D73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EC5" w:rsidRDefault="00C47EC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4197"/>
    </w:sdtPr>
    <w:sdtEndPr>
      <w:rPr>
        <w:sz w:val="24"/>
        <w:szCs w:val="24"/>
      </w:rPr>
    </w:sdtEndPr>
    <w:sdtContent>
      <w:p w:rsidR="00D7338B" w:rsidRPr="00D7338B" w:rsidRDefault="00D27DF8">
        <w:pPr>
          <w:pStyle w:val="a5"/>
          <w:jc w:val="right"/>
          <w:rPr>
            <w:sz w:val="24"/>
            <w:szCs w:val="24"/>
          </w:rPr>
        </w:pPr>
        <w:r w:rsidRPr="00D7338B">
          <w:rPr>
            <w:sz w:val="24"/>
            <w:szCs w:val="24"/>
          </w:rPr>
          <w:fldChar w:fldCharType="begin"/>
        </w:r>
        <w:r w:rsidR="00D7338B" w:rsidRPr="00D7338B">
          <w:rPr>
            <w:sz w:val="24"/>
            <w:szCs w:val="24"/>
          </w:rPr>
          <w:instrText xml:space="preserve"> PAGE   \* MERGEFORMAT </w:instrText>
        </w:r>
        <w:r w:rsidRPr="00D7338B">
          <w:rPr>
            <w:sz w:val="24"/>
            <w:szCs w:val="24"/>
          </w:rPr>
          <w:fldChar w:fldCharType="separate"/>
        </w:r>
        <w:r w:rsidR="00CC60F9">
          <w:rPr>
            <w:noProof/>
            <w:sz w:val="24"/>
            <w:szCs w:val="24"/>
          </w:rPr>
          <w:t>2</w:t>
        </w:r>
        <w:r w:rsidRPr="00D7338B">
          <w:rPr>
            <w:sz w:val="24"/>
            <w:szCs w:val="24"/>
          </w:rPr>
          <w:fldChar w:fldCharType="end"/>
        </w:r>
      </w:p>
    </w:sdtContent>
  </w:sdt>
  <w:p w:rsidR="00D7338B" w:rsidRDefault="00D7338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EC5" w:rsidRDefault="00C47EC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70351"/>
    <w:multiLevelType w:val="hybridMultilevel"/>
    <w:tmpl w:val="B37658BA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>
    <w:nsid w:val="51754273"/>
    <w:multiLevelType w:val="hybridMultilevel"/>
    <w:tmpl w:val="F5348A9C"/>
    <w:lvl w:ilvl="0" w:tplc="E37808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8234dc54-9d9b-42d3-9a96-7e5480f8d669"/>
  </w:docVars>
  <w:rsids>
    <w:rsidRoot w:val="00D7338B"/>
    <w:rsid w:val="00005ACB"/>
    <w:rsid w:val="001535DD"/>
    <w:rsid w:val="00163F3E"/>
    <w:rsid w:val="00300D61"/>
    <w:rsid w:val="00337003"/>
    <w:rsid w:val="007C30BB"/>
    <w:rsid w:val="007D7490"/>
    <w:rsid w:val="00841630"/>
    <w:rsid w:val="00A01EE4"/>
    <w:rsid w:val="00A6424D"/>
    <w:rsid w:val="00B85B37"/>
    <w:rsid w:val="00C47EC5"/>
    <w:rsid w:val="00C571CC"/>
    <w:rsid w:val="00C85B6A"/>
    <w:rsid w:val="00CC60F9"/>
    <w:rsid w:val="00D27DF8"/>
    <w:rsid w:val="00D7338B"/>
    <w:rsid w:val="00E67189"/>
    <w:rsid w:val="00E90272"/>
    <w:rsid w:val="00EC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3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33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733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3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733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3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7E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E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GreckixOP</dc:creator>
  <cp:lastModifiedBy>KardiMB</cp:lastModifiedBy>
  <cp:revision>8</cp:revision>
  <cp:lastPrinted>2020-03-10T05:21:00Z</cp:lastPrinted>
  <dcterms:created xsi:type="dcterms:W3CDTF">2020-03-10T05:22:00Z</dcterms:created>
  <dcterms:modified xsi:type="dcterms:W3CDTF">2020-03-10T05:25:00Z</dcterms:modified>
</cp:coreProperties>
</file>