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F8" w:rsidRDefault="00C943F8" w:rsidP="00C943F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3F8" w:rsidRPr="00C943F8" w:rsidRDefault="00C943F8" w:rsidP="00C943F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620200099/27851(5)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C943F8" w:rsidRPr="00C943F8" w:rsidRDefault="00C943F8" w:rsidP="00C943F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620200099/27851(5)</w:t>
                      </w:r>
                    </w:p>
                  </w:txbxContent>
                </v:textbox>
              </v:rect>
            </w:pict>
          </mc:Fallback>
        </mc:AlternateContent>
      </w:r>
    </w:p>
    <w:p w:rsidR="00C943F8" w:rsidRDefault="00C943F8" w:rsidP="00C943F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43F8" w:rsidRPr="00C943F8" w:rsidRDefault="00C943F8" w:rsidP="00C943F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943F8" w:rsidRPr="00C943F8" w:rsidRDefault="00C943F8" w:rsidP="00C943F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943F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C943F8">
        <w:rPr>
          <w:rFonts w:ascii="Times New Roman" w:eastAsia="Calibri" w:hAnsi="Times New Roman" w:cs="Times New Roman"/>
          <w:sz w:val="36"/>
          <w:szCs w:val="36"/>
        </w:rPr>
        <w:br/>
      </w:r>
      <w:r w:rsidRPr="00C943F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C943F8" w:rsidRPr="00C943F8" w:rsidRDefault="00C943F8" w:rsidP="00C943F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943F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C943F8">
        <w:rPr>
          <w:rFonts w:ascii="Times New Roman" w:eastAsia="Calibri" w:hAnsi="Times New Roman" w:cs="Times New Roman"/>
          <w:sz w:val="36"/>
          <w:szCs w:val="36"/>
        </w:rPr>
        <w:br/>
      </w:r>
      <w:r w:rsidRPr="00C943F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B24D6" w:rsidRDefault="002B24D6" w:rsidP="002B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4D6" w:rsidRDefault="00E834C3" w:rsidP="00E834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2023 г. № 777</w:t>
      </w:r>
    </w:p>
    <w:p w:rsidR="00E834C3" w:rsidRPr="002B24D6" w:rsidRDefault="00E834C3" w:rsidP="00E834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B24D6" w:rsidRPr="002B24D6" w:rsidRDefault="002B24D6" w:rsidP="002B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4D6" w:rsidRDefault="00875850" w:rsidP="002B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</w:t>
      </w:r>
    </w:p>
    <w:p w:rsidR="002B24D6" w:rsidRDefault="00875850" w:rsidP="002B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6">
        <w:rPr>
          <w:rFonts w:ascii="Times New Roman" w:hAnsi="Times New Roman" w:cs="Times New Roman"/>
          <w:b/>
          <w:sz w:val="28"/>
          <w:szCs w:val="28"/>
        </w:rPr>
        <w:t>вида фактического использования зданий</w:t>
      </w:r>
    </w:p>
    <w:p w:rsidR="002B24D6" w:rsidRDefault="00875850" w:rsidP="002B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6">
        <w:rPr>
          <w:rFonts w:ascii="Times New Roman" w:hAnsi="Times New Roman" w:cs="Times New Roman"/>
          <w:b/>
          <w:sz w:val="28"/>
          <w:szCs w:val="28"/>
        </w:rPr>
        <w:t xml:space="preserve"> (строений, сооружений) и нежилых помещений</w:t>
      </w:r>
    </w:p>
    <w:p w:rsidR="002B24D6" w:rsidRDefault="00875850" w:rsidP="002B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6">
        <w:rPr>
          <w:rFonts w:ascii="Times New Roman" w:hAnsi="Times New Roman" w:cs="Times New Roman"/>
          <w:b/>
          <w:sz w:val="28"/>
          <w:szCs w:val="28"/>
        </w:rPr>
        <w:t xml:space="preserve"> для целей налогообложения </w:t>
      </w:r>
      <w:r w:rsidR="00D01E71" w:rsidRPr="002B24D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00D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1E71" w:rsidRPr="002B24D6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</w:p>
    <w:p w:rsidR="002B24D6" w:rsidRDefault="00D01E71" w:rsidP="002B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4D6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2B24D6">
        <w:rPr>
          <w:rFonts w:ascii="Times New Roman" w:hAnsi="Times New Roman" w:cs="Times New Roman"/>
          <w:b/>
          <w:sz w:val="28"/>
          <w:szCs w:val="28"/>
        </w:rPr>
        <w:t xml:space="preserve"> силу некоторых постановлений </w:t>
      </w:r>
    </w:p>
    <w:p w:rsidR="00875850" w:rsidRPr="002B24D6" w:rsidRDefault="00D01E71" w:rsidP="002B2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D6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875850" w:rsidRDefault="00875850" w:rsidP="002B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4D6" w:rsidRPr="002B24D6" w:rsidRDefault="002B24D6" w:rsidP="002B2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Default="00875850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2B24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 статьи 378.2</w:t>
        </w:r>
      </w:hyperlink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 Правительство Республики Тыва </w:t>
      </w:r>
      <w:r w:rsidR="00E50504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B24D6" w:rsidRPr="002B24D6" w:rsidRDefault="002B24D6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2B24D6" w:rsidRDefault="00875850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ar31" w:history="1">
        <w:r w:rsidRPr="002B24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вида фактического использ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вания зданий (строений, сооружений) и нежилых помещений для целей налогоо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ложения.</w:t>
      </w:r>
    </w:p>
    <w:p w:rsidR="00875850" w:rsidRPr="002B24D6" w:rsidRDefault="00875850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Министерство земельных и имущественных отношений Республики Тыва является исполнительным органом государственной власти Ре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уполномоченным на определение вида фактического использования зданий (строений, сооружений) и помещений, в отношении которых налоговая база определяется как кадастровая стоимость.</w:t>
      </w:r>
    </w:p>
    <w:p w:rsidR="00F2201C" w:rsidRPr="002B24D6" w:rsidRDefault="0068578F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</w:t>
      </w:r>
      <w:r w:rsidR="00F2201C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F2201C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8578F" w:rsidRPr="002B24D6" w:rsidRDefault="0068578F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Республики Тыва от 8 ноября 2019 г. № 531</w:t>
      </w:r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вида фактического использования зданий (строений, сооружений) и нежилых помещений, в отношении которых налоговая б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за по налогу на имущество организаций определя</w:t>
      </w:r>
      <w:r w:rsidR="004873B3">
        <w:rPr>
          <w:rFonts w:ascii="Times New Roman" w:hAnsi="Times New Roman" w:cs="Times New Roman"/>
          <w:color w:val="000000" w:themeColor="text1"/>
          <w:sz w:val="28"/>
          <w:szCs w:val="28"/>
        </w:rPr>
        <w:t>ется как кадастровая стоимость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73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201C" w:rsidRPr="002B24D6" w:rsidRDefault="00F2201C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 Правительства Республики Тыва от 3 марта 2020 г. № 71 </w:t>
      </w:r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Правительства Республики Тыва от </w:t>
      </w:r>
      <w:r w:rsidR="004873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8 но</w:t>
      </w:r>
      <w:r w:rsidR="004873B3">
        <w:rPr>
          <w:rFonts w:ascii="Times New Roman" w:hAnsi="Times New Roman" w:cs="Times New Roman"/>
          <w:color w:val="000000" w:themeColor="text1"/>
          <w:sz w:val="28"/>
          <w:szCs w:val="28"/>
        </w:rPr>
        <w:t>ября 2019 г.</w:t>
      </w: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531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7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2B24D6" w:rsidRDefault="0068578F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75850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693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F2201C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фициальном </w:t>
      </w:r>
      <w:proofErr w:type="gramStart"/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интернет-портале</w:t>
      </w:r>
      <w:proofErr w:type="gramEnd"/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правовой информации</w:t>
      </w:r>
      <w:r w:rsidR="00693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93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693D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91075" w:rsidRPr="002B24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75850" w:rsidRPr="002B24D6" w:rsidRDefault="0068578F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75850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</w:t>
      </w:r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оящего постановления возложить </w:t>
      </w:r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на мин</w:t>
      </w:r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 земельных и имущественных отношений Республики Тыва </w:t>
      </w:r>
      <w:proofErr w:type="spellStart"/>
      <w:r w:rsidR="00891075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Допуй-оола</w:t>
      </w:r>
      <w:proofErr w:type="spellEnd"/>
      <w:r w:rsidR="004873B3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3B3" w:rsidRPr="002B24D6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</w:p>
    <w:p w:rsidR="00875850" w:rsidRPr="002B24D6" w:rsidRDefault="00875850" w:rsidP="004873B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5850" w:rsidRPr="002B24D6" w:rsidRDefault="00875850" w:rsidP="004873B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92098" w:rsidRDefault="00892098" w:rsidP="0089209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92098" w:rsidRPr="00C71AFF" w:rsidRDefault="00892098" w:rsidP="008920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З</w:t>
      </w:r>
      <w:r w:rsidRPr="00C71AFF">
        <w:rPr>
          <w:rFonts w:ascii="Times New Roman" w:eastAsia="Calibri" w:hAnsi="Times New Roman" w:cs="Calibri"/>
          <w:sz w:val="28"/>
          <w:szCs w:val="28"/>
        </w:rPr>
        <w:t>аместител</w:t>
      </w:r>
      <w:r>
        <w:rPr>
          <w:rFonts w:ascii="Times New Roman" w:eastAsia="Calibri" w:hAnsi="Times New Roman" w:cs="Calibri"/>
          <w:sz w:val="28"/>
          <w:szCs w:val="28"/>
        </w:rPr>
        <w:t>ь</w:t>
      </w:r>
      <w:r w:rsidRPr="00C71AFF">
        <w:rPr>
          <w:rFonts w:ascii="Times New Roman" w:eastAsia="Calibri" w:hAnsi="Times New Roman" w:cs="Calibri"/>
          <w:sz w:val="28"/>
          <w:szCs w:val="28"/>
        </w:rPr>
        <w:t xml:space="preserve"> Председателя </w:t>
      </w:r>
    </w:p>
    <w:p w:rsidR="00892098" w:rsidRPr="00C71AFF" w:rsidRDefault="00892098" w:rsidP="008920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C71AFF">
        <w:rPr>
          <w:rFonts w:ascii="Times New Roman" w:eastAsia="Calibri" w:hAnsi="Times New Roman" w:cs="Calibri"/>
          <w:sz w:val="28"/>
          <w:szCs w:val="28"/>
        </w:rPr>
        <w:t>Правительства Республики Тыва                                                                         О. Лукин</w:t>
      </w:r>
    </w:p>
    <w:p w:rsidR="00892098" w:rsidRPr="00C71AFF" w:rsidRDefault="00892098" w:rsidP="008920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098" w:rsidRPr="006057ED" w:rsidRDefault="00892098" w:rsidP="00892098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75850" w:rsidRPr="002B24D6" w:rsidRDefault="00875850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3B3" w:rsidRDefault="004873B3" w:rsidP="002B24D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873B3" w:rsidSect="004873B3">
          <w:headerReference w:type="default" r:id="rId10"/>
          <w:pgSz w:w="11905" w:h="16838" w:code="9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875850" w:rsidRPr="004873B3" w:rsidRDefault="00875850" w:rsidP="004873B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5850" w:rsidRPr="004873B3" w:rsidRDefault="00875850" w:rsidP="004873B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75850" w:rsidRPr="004873B3" w:rsidRDefault="00875850" w:rsidP="004873B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834C3" w:rsidRDefault="00E834C3" w:rsidP="00E834C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от 31 октября 2023 г. № 777</w:t>
      </w:r>
    </w:p>
    <w:p w:rsidR="004873B3" w:rsidRPr="004873B3" w:rsidRDefault="004873B3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4873B3" w:rsidRDefault="004873B3" w:rsidP="0048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b/>
          <w:sz w:val="28"/>
          <w:szCs w:val="28"/>
        </w:rPr>
        <w:t>К</w:t>
      </w:r>
    </w:p>
    <w:p w:rsidR="004873B3" w:rsidRDefault="00875850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 xml:space="preserve">определения вида фактического использования </w:t>
      </w:r>
    </w:p>
    <w:p w:rsidR="004873B3" w:rsidRDefault="00875850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зданий</w:t>
      </w:r>
      <w:r w:rsidR="004873B3">
        <w:rPr>
          <w:rFonts w:ascii="Times New Roman" w:hAnsi="Times New Roman" w:cs="Times New Roman"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sz w:val="28"/>
          <w:szCs w:val="28"/>
        </w:rPr>
        <w:t xml:space="preserve">(строений, сооружений) и нежилых </w:t>
      </w:r>
    </w:p>
    <w:p w:rsidR="00875850" w:rsidRPr="004873B3" w:rsidRDefault="00875850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помещений для целей налогообложения</w:t>
      </w:r>
    </w:p>
    <w:p w:rsidR="00875850" w:rsidRPr="004873B3" w:rsidRDefault="00875850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4873B3" w:rsidRDefault="00AC2ACD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1</w:t>
      </w:r>
      <w:r w:rsidR="00875850" w:rsidRPr="004873B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75850" w:rsidRPr="004873B3" w:rsidRDefault="00875850" w:rsidP="0048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7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9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 и регламентирует процедуру определения вида фактического использования зданий (строений, сооружений) и нежилых помещений (далее </w:t>
      </w:r>
      <w:r w:rsidR="005632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недвижимого имущества) для целей налог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обложения для определения (подготовки) перечня объектов недвижимого имущ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ства, в отношении которых налоговая база определяется как кадастровая стоимость, на очередной налоговый период (далее </w:t>
      </w:r>
      <w:r w:rsidR="005632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на очередной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период). В перечень на очередной налоговый период подлежат включению расположенные на территории Республики Тыва объекты недвижимого имущества, указанные в </w:t>
      </w:r>
      <w:hyperlink r:id="rId13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соответствующие условиям, установленным </w:t>
      </w:r>
      <w:hyperlink r:id="rId15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="005632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6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1"/>
      <w:bookmarkEnd w:id="2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определению вида фактического использования зданий (строений, сооружений) и нежилых помещений для целей налогообложения ос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ществляются Министерством земельных и имущественных отношений Республики Тыва (далее </w:t>
      </w:r>
      <w:r w:rsidR="005632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РТ) с привлечением </w:t>
      </w:r>
      <w:r w:rsidR="00AD6AC3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</w:t>
      </w:r>
      <w:r w:rsidR="00AD6AC3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D6AC3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51066E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рекомендаций межведомственной комиссии по рассмотрению 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просов определения вида фактического использования зданий (строений, сооруж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ний) и нежилых помещений (далее </w:t>
      </w:r>
      <w:r w:rsidR="005632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комиссия).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в своей деятельности 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ководствуется </w:t>
      </w:r>
      <w:hyperlink w:anchor="Par352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2 к настоящему Порядку.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1.3. Мероприятия по определению вида фактического использования зданий (строений, сооружений) и нежилых помещений осуществляются в целях выявления следующих видов недвижимого имущества, признаваемого объектом налогообл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жения, в отношении которого налоговая база определяется как кадастровая сто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мость имущества, утвержденная в установленном порядке: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1) административно-деловые центры и торговые центры (комплексы) и пом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щения в них;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2) нежилые помещения, назначение, разрешенное использование или наим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нование которых в соответствии со сведениями, содержащимися в Едином госуда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ственном реестре недвижимости, или документами технического учета (инвентар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зации) объектов недвижимости предусматривает размещение офисов, торговых об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ектов, объектов общественного питания и бытового обслуживания либо которые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5"/>
      <w:bookmarkEnd w:id="3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1.4. Для целей настоящего Порядка используются следующие понятия: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1) административно-деловой центр;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административно-деловым центром признается отдельно стоящее нежилое здание (строение, сооружение), помещения в котором принадлежат одному или 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скольким собственникам и которое отвечает хотя бы одному из следующих условий: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расположено на земельном участке, один из видов разрешенного использования которого предусматривает размещение офисных зданий делового, административного и коммерческого назначения;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предназначено для использования или факт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чески используется в целях делового, административного или коммерческого назн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При этом: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признается предназначенным для использов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 в целях делового, административного или коммерческого назначения, если назначение, разрешенное использование или наименование помещений общей пл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тов недвижимости предусматривает размещение офисов и сопутствующей офисной инфраструктуры (включая централизованные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приемные помещения, комнаты для проведения встреч, офисное оборудование, парковки);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фактическим использованием здания (строения, сооружения) в целях делов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го, административного или коммерческого назначения признается использование не менее 20 процентов его общей площади для размещения офисов и сопутствующей офисной инфраструктуры (включая централизованные приемные помещения, ко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наты для проведения встреч, офисное оборудование, парковки);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B3">
        <w:rPr>
          <w:rFonts w:ascii="Times New Roman" w:hAnsi="Times New Roman" w:cs="Times New Roman"/>
          <w:sz w:val="28"/>
          <w:szCs w:val="28"/>
        </w:rPr>
        <w:t>2) торговый центр (комплекс);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торговым центром (комплексом) признается отдельно стоящее нежилое здание (строение, сооружение), помещения в котором принадлежат одному или нескольким собственникам и которое отвечает хотя бы одному из следующих условий: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расположено на земельном участке, один из видов разрешенного использования которого предусматривает размещение торг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вых объектов, объектов общественного питания и (или) бытового обслуживания;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предназначено для использования или факт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чески используется в целях размещения торговых объектов, объектов общественн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 питания и (или) объектов бытового обслуживания.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При этом: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признается предназначенным для использов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ние или наименование помещений общей площадью не менее 20 процентов общей площади этого здания (строения, сооружения) в соответствии со сведениями, 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держащимися в Едином государственном реестре недвижимости, или документами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технического учета (инвентаризации) таких объектов недвижимости предусматр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вает размещение торговых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объектов общественного питания и (или) об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ектов бытового обслуживания;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фактическим использованием здания (строения, сооружения) в целях разм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щения торговых объектов, объектов общественного питания и (или) объектов быт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Порядка отдельно стоящее нежилое здание (строение, 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оружение), помещения в котором принадлежат одному или нескольким собственн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кам, признается одновременно как административно-деловой центр, так и торговый центр (комплекс), если такое здание (строение, сооружение) предназначено для 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или фактически используется одновременно как в целях делового, 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или коммерческого назначения, так и в целях размещения торг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вых объектов, объектов общественного питания и (или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) объектов бытового обсл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живания.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Порядка: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здание (строение, сооружение) признается предназначенным для использов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тов общей площади этого здания (строения, сооружения) в соответствии со сведен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ями, содержащимися в Едином государственном реестре недвижимости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, или док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ментами технического учета (инвентаризации) таких объектов недвижимости предусматривает размещение офисов и сопутствующей офисной инфраструктуры (включая централизованные приемные помещения, комнаты для проведения встреч, офисное оборудование, парковки), торговых объектов, объектов общественного п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тания и (или) объектов бытового обслуживания;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фактическим использованием здания (строения, сооружения) одновременно как в целях делового, административного или коммерческого назначения, так и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общей площади этого здания (строения, сооружения) для размещения офисов и 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путствующей офисной инфраструктуры (включая централизованные приемные п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мещения, комнаты для проведения встреч, офисное оборудование, парковки), торг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вых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объектов общественного питания и (или) объектов бытового обсл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живания.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Фактическим использованием здания (строения, сооружения) и нежилого помещения, предусматривающим размещение объектов, указанных в </w:t>
      </w:r>
      <w:hyperlink w:anchor="Par45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1.4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признается использование не менее 20 процентов общей пл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щади указанного здания (строения, сооружения), нежилого помещения для разм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щения офисов и (или) торговых объектов, и (или) объектов общественного питания, и (или) объектов бытового обслуживания.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215" w:rsidRDefault="00875850" w:rsidP="00563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 Порядок определения перечня объектов </w:t>
      </w:r>
    </w:p>
    <w:p w:rsidR="00563215" w:rsidRDefault="00875850" w:rsidP="00563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недвижимого</w:t>
      </w:r>
      <w:r w:rsid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имущества, в отношении которых </w:t>
      </w:r>
    </w:p>
    <w:p w:rsidR="00563215" w:rsidRDefault="00875850" w:rsidP="00563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налоговая база определяется</w:t>
      </w:r>
      <w:r w:rsid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кадастровая </w:t>
      </w:r>
    </w:p>
    <w:p w:rsidR="00875850" w:rsidRPr="00563215" w:rsidRDefault="00875850" w:rsidP="00563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32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стоимость на очередной налоговый период</w:t>
      </w:r>
    </w:p>
    <w:p w:rsidR="00875850" w:rsidRPr="00563215" w:rsidRDefault="00875850" w:rsidP="0056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ежегодно представляемого Управлением Федеральной службы государственной регистрации, кадастра и картографии по Республике Тыва перечня объектов недвижимого имущества, выгруженного из баз данных Автомат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ческой информационной системы Государственного кадастра недвижимости (АИС ГКН) и Единого государственного реестра недвижимости (ЕГРН), в соответствии с составом сведений, определенным Федеральной налоговой службой России (далее </w:t>
      </w:r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недвижимого имущества),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РТ: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направляет перечень объектов, выгруженного из баз данных Автоматической информационной системы Государственного кадастра недвижимости (АИС ГКН) и Единого государственного реестра недвижимости (ЕГРН), в администрации муниципальных районов, г. Ак-Довурак</w:t>
      </w:r>
      <w:r w:rsidR="0040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мэрию города Кызыла для выборки и составления перечня объектов недвижимого имущества, ра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положенных на их территории, в отношении которых налоговая база определяется как кадастровая стоимость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срок до 1 сентября текущего года 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представленных админ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страциями муниципальных районов, г. Ак-Довурак</w:t>
      </w:r>
      <w:r w:rsidR="00B832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, мэрией города Кызыла пере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72E80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предварительный перечень на предстоящий налоговый период и размещает его на официальном сайте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информационно-телекоммуникационной сети Интернет https:// </w:t>
      </w:r>
      <w:r w:rsidRPr="00B832EF">
        <w:rPr>
          <w:rFonts w:ascii="Times New Roman" w:hAnsi="Times New Roman" w:cs="Times New Roman"/>
          <w:sz w:val="28"/>
          <w:szCs w:val="28"/>
        </w:rPr>
        <w:t>https://minzem.rtyva.ru/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циальный сайт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РТ);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срок не позднее 1-го числа очередного налогового периода по налогу на имущество организации с учетом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обращений собственников объектов недвижимости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их уполномоченных представителей (далее 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заявители) по вопросам, касающимся определения вида фактического использования объектов: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перечень на очередной налоговый период, представляет на утве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ждение в Правительство Республики Тыва и размещает его на официальном сайте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утвержденный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налоговый период перечень на оч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редной налоговый период в электронной форме в Управление Федеральной налог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вой службы по Республике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 целях актуализации перечня на очередной налоговый период в течение налогового периода на основании обращений заявителей о внесении изменений в перечень на очередной налоговый период проводит мероприятия по определению вида фактического использования зданий (строений, сооружений) и помещений в соответствии с </w:t>
      </w:r>
      <w:hyperlink w:anchor="Par180" w:history="1">
        <w:r w:rsidR="00B83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етодикой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вида фактического использования зданий (строений, сооружений) и нежилых помещений для целей налогообложения согла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приложению 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целях определения перечня на очередной налоговый период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ежегодно, до 1 апреля текущего налогового периода, запрашивает в Управлении Федеральной службы государственной регистрации, кадастра и карт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графии по Республике Тыва в отношении объектов недвижимого имущества, ук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</w:t>
      </w:r>
      <w:hyperlink w:anchor="Par41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следующие сведения: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объекта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адрес (при отсутствии </w:t>
      </w:r>
      <w:r w:rsidR="00B832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местоположение) объекта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3) площадь объекта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4) назначение объекта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5) кадастровый номер объекта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6) категорию земельного участка, на котором расположен объект недвижим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7) вид разрешенного использования земельного участка, на котором распол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жен объект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8) кадастровый номер земельного участка, на котором расположен объект 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имущества.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на очередной налоговый период утверждается распоряжением Правительства Республики Тыва.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. В перечень на очередной налоговый период включаются объекты недв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жимого имущества согласно сформированным в соответствии с </w:t>
      </w:r>
      <w:hyperlink w:anchor="Par41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ящего Порядка списком объектов недвижимого имущества, подлежащих включ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в перечень на очередной налоговый период, скорректированным в соответствии с положениями </w:t>
      </w:r>
      <w:hyperlink w:anchor="Par93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3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а также с учетом замечаний и пре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ложений органов местного самоуправления.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Состав сведений, подлежащих включению в перечень на очередной налоговый период, формат и порядок их направления в электронной форме в Управление Ф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деральной налоговой службы по Республике Тыва определяются Федеральной нал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говой службой России.</w:t>
      </w:r>
    </w:p>
    <w:p w:rsidR="00875850" w:rsidRPr="000E458F" w:rsidRDefault="00875850" w:rsidP="000E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0E458F" w:rsidRDefault="00875850" w:rsidP="000E45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Par93"/>
      <w:bookmarkEnd w:id="4"/>
      <w:r w:rsidRPr="000E45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Порядок определения вида фактического</w:t>
      </w:r>
    </w:p>
    <w:p w:rsidR="00875850" w:rsidRPr="000E458F" w:rsidRDefault="00875850" w:rsidP="000E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45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 объектов недвижимого имущества</w:t>
      </w:r>
    </w:p>
    <w:p w:rsidR="00875850" w:rsidRPr="000E458F" w:rsidRDefault="00875850" w:rsidP="000E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45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целей налогообложения</w:t>
      </w:r>
    </w:p>
    <w:p w:rsidR="00875850" w:rsidRPr="000E458F" w:rsidRDefault="00875850" w:rsidP="000E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3.1. Мероприятия по определению вида фактического использования зданий (строений, сооружений) и нежилых помещений проводятся по инициативе органов местного самоуправления, собственника объекта недвижимого имущества, правоо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ладателя вещного права на объект недвижимого имущества или его уполномоченн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 представителя.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98"/>
      <w:bookmarkEnd w:id="5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самоуправления, собственник объекта недвижимого им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щества, правообладатель вещного права на объект недвижимого имущества или его уполномоченный представитель (далее 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заявитель) в случае несогласия с включ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нием в список объектов недвижимого имущества, подлежащих включению в пер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чень на очередной налоговый период либо с отсутствием объектов недвижимого имущества в списке объектов недвижимого имущества, подлежащих включению в перечень на очередной налоговый период, имеет право в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1 июля текущего налогового периода направить в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</w:t>
      </w:r>
      <w:hyperlink w:anchor="Par435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следования здания (строения, сооружения) и нежилого помещения, оформленное 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форме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846E92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Порядку (далее 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заявление). Зая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ление может быть представлено лично или посредством почтового отправления.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99"/>
      <w:bookmarkEnd w:id="6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3.3. К заявлению прилагаются следующие документы: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00"/>
      <w:bookmarkEnd w:id="7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документа, удостоверяющего личность заявителя;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2) копии документов, удостоверяющих личность и полно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мочия представителя заявителя, 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с заявлением обращается представитель заявителя;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02"/>
      <w:bookmarkEnd w:id="8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3) копии технических планов (паспортов) на объекты недвижимого имущ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hyperlink w:anchor="Par487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данных, оформленное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0E45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настоящему Порядку.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04"/>
      <w:bookmarkEnd w:id="9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3.4. Заявитель вправе приложить к заявлению следующие документы: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1) выписка из Единого государственного реестра индивидуальных предпр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нимателей 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заявителем выступает индивидуальный предприним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тель;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выписка из Единого государственного реестра юридических лиц 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случае, если заявителем выступает юридическое лицо;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3) выписка из Единого государственного реестра недвижимости на объект 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имущества, в отношении которого заявлено проведение обследования;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4) выписка из Единого государственного реестра недвижимости в отношении земельных участков, на которых расположены объекты недвижимого имущества, в отношении которых заявлено проведение обследования;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5) копии договоров, предусматривающих переход прав владения и (или) пол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зования на объект (часть объекта) недвижимого имущества;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6) фот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видеоматериалы, фиксирующие вид фактического использ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вания объектов недвижимого имущества.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Документы, указанные в </w:t>
      </w:r>
      <w:hyperlink w:anchor="Par100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ar102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пункта 3.3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предоставляются в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виде копий, сканированных образов, з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веренных подписью заявителя и печатью (при наличии) в бумажном либо электро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ном виде.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3.6. В случае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 заявлением обратилось лицо, не указанное в </w:t>
      </w:r>
      <w:hyperlink w:anchor="Par98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или заявителем не соблюдена форма заявления, или к заявл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не приложены документы, указанные в </w:t>
      </w:r>
      <w:hyperlink w:anchor="Par99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3.3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срок не позднее 3 рабочих дней со дня поступления заявления возвращает представленные документы.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срок не позднее 5 рабочих дней со дня поступл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 заявления при отсутствии оснований для возврата представленных документов, указанных в пункте 3.6 настоящего Порядка, принимает решение о проведении 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 объектов недвижимого имущества в форме распоряжения.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3.8. Организационно-техническую работу, связанную со сбором сведений, 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и (или) документов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и </w:t>
      </w:r>
      <w:r w:rsidR="0028193B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района, на территории которого расположены объекты недвижим</w:t>
      </w:r>
      <w:r w:rsidR="0028193B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193B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имущества, в отношении которых налоговая база в соответствии определяется как их кадастровая стоимость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Подготовка рекомендаций по определению вида фактического использования зданий (строений, сооружений) и помещений осуществляется комиссией с учетом обследования зданий (строений, сооружений) и помещений.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проведения обследования зданий (строений, сооружений) и неж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лых помещений (далее </w:t>
      </w:r>
      <w:r w:rsidR="00B073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мероприятия) в каждом районе Республики Тыва, на терр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тории которого расположены объекты недвижимого имущества, в отношении кот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рых налоговая база в соответствии определяется как их кадастровая стоимость, ра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поряжением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формируется рабочая группа по обеспечению обследований в целях определения вида фактического использования зданий (стр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ений, сооружений) и помещений (далее 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группа).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3.10. В состав рабочей группы включаются представители органов местного самоуправления, на территории которого располагается объект недвижимости, в 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ношении которого осуществляется обследование (по согласованию), представители </w:t>
      </w:r>
      <w:r w:rsidRPr="0069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малого и среднего предпринимательства, также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могут привлекаться по согласов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нию специалисты в сфере технического учета (инвентаризации) объектов недвиж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мости и (или) эксперты, сотрудники Министерства строительства Республики Тыва (по согласованию).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3.11. В распоряжении о проведении мероприятия по определению вида факт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ческого использования и формировании рабочей группы указываются: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лицах, уполномоченных на обследование объектов недвижимого имущества, а также иных лиц, привлеченных для обследования (фамилия, имя, 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чество, должность);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2) наименование и адреса объектов обследования с указанием их кадастровых номеров;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3) дата проведения обследования, дата окончания обследования;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4) основания проведения обследования.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Распоряжение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 проведении мероприятия по определению вида фактического использования и формировании рабочей группы в течение 3 рабочих дней со дня его утверждения, но не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календарных дня до дня проведения обследования размещается на официальном сайте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3.13. Уведомление о проведении обследования объектов недвижимого имущ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и копия распоряжения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 проведении обследования об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ектов недвижимого имущества </w:t>
      </w:r>
      <w:r w:rsidR="00972A84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972A84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72A84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дня принятия такого распоряжения направляются заявителю почтовым отправлением или в форме эле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26"/>
      <w:bookmarkEnd w:id="10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3.14. Рабочая группа обеспечивает проведение обследования зданий (стро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ний, сооружений) и нежилых помещений в сроки, установленные распоряжением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 проведении мероприятия по определению вида фактическ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 использования и формировании рабочей группы.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обследования определяется в зависимости от количества объектов обследования, их местоположения с учетом территориальной доступности, но не может превышать 3 месяца с момента начала обследования.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При обследовании проводится выезд членов рабочей группы и визуальный осмотр зданий (строений, сооружений) и нежилых помещений.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3.15. В целях обеспечения проведения обследования рабочая группа использ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ет информацию, содержащуюся в Едином государственном реестре недвижимости, документах технического учета (инвентаризации) и иных документах.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3.16. Обследование объектов недвижимого имущества проводится в прису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ствии заявителя.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3.17. В ходе проведения обследования проводятся обмеры (измерения) площ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 объектов недвижимого имущества (при необходимости), расчеты в соответствии с </w:t>
      </w:r>
      <w:hyperlink w:anchor="Par180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вида фактического использования зданий (строений, 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оружений) и нежилых помещений для целей налогообложения, приведенной в пр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ложении </w:t>
      </w:r>
      <w:r w:rsidR="00846E92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Порядку, а также при необходимости осуществляется фот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видеосъемк</w:t>
      </w:r>
      <w:r w:rsidR="00186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, фиксирующ</w:t>
      </w:r>
      <w:r w:rsidR="0018679B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фактическое использование объектов 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имущества, а также фото- и (или) видеосъемк</w:t>
      </w:r>
      <w:r w:rsidR="0018679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сте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дов с данными о физических и юридических лицах, осуществляющих деятельность на территории объектов недвижимого имущества, результаты которо</w:t>
      </w:r>
      <w:r w:rsidR="0018679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ются в комиссию в срок, установленный пунктом 3.18 настоящего Порядка.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3.18. По итогам проведения обследования лицами, осуществлявшими обсл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дование, составляется </w:t>
      </w:r>
      <w:hyperlink w:anchor="Par519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обследования здания (строения, сооружения) и нежилого помещения (далее </w:t>
      </w:r>
      <w:r w:rsidR="003C4C9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обследования) в срок не позднее 5 рабочих дней дня со дня проведения обследования по форме согласно приложению </w:t>
      </w:r>
      <w:r w:rsidR="00846E92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П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рядку с приложением соответствующих фот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видеоматериалов и предста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ляет его в комиссию.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об объектах недвижимого имущества, подлежащие отражению в акте обследования, заполняются лицами, осуществлявшими обследование, на основании документов, указанных в </w:t>
      </w:r>
      <w:hyperlink w:anchor="Par99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3.3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04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3.4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данных фот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4C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видеосъемки, проведенных обмеров (измерений) и расчетов.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3.19. В случае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 проведении обследования возникли обстоятельства, препятствующие доступу рабочей группы в здание (строение, сооружение) и неж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лое помещение, подлежащие обследованию, и при этом имеются обстоятельства, свидетельствующие об использовании указанного здания (строения, сооружения) и нежилого помещения для размещения торговых центров (комплексов), акт обслед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вания оформляется с указанием выявленных обстоятельств и причин, препятству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щих доступу рабочей группы в здание (строение, сооружение) и нежилое помещ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ние.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36"/>
      <w:bookmarkEnd w:id="11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3.20. В случае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заявитель не обеспечил свое присутствие для обследов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ния, заявление остается без рассмотрения.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3.21.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акт обследования объектов недвижимости, по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лежащих включению или исключению из предварительного перечня на очередной налоговый период, и в течение пяти рабочих дней с момента его поступления пр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нимает решение, содержащее рекомендацию по определению вида фактического использования здания (строения, сооружения) и нежилого помещения, по включ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нию, исключению объектов недвижимости из предварительного перечня на очере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налоговый период, и направляет принятое решение в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течение трех рабочих дней со дня подписания решения.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3.22.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по результатам рассмотрения решения комиссии в течение 5 рабочих дней со дня представления решения издает распоряжение об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определении вида фактического использования здания (строения, сооружения) и нежилого помещения, включает либо исключает объекты недвижимости из проекта предварительного перечня на очередной налоговый период.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3.23. Распоряжение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об определении вида фактического использования здания (строения, сооружения) и нежилого помещения размещается на официальном сайте Министерства не позднее 3 рабочих дней после дня издания распоряжения.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распоряжения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об определении вида фактическ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 использования здания (строения, сооружения) и нежилого помещения не позднее 3 рабочих дней после издания распоряжения направляется собственнику здания (строения, сооружения) и нежилого помещения, заявителю, либо представителю з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явителя, заказным почтовым отправлением с уведомлением о вручении по адресу либо вручается собственнику здания (строения, сооружения) и нежилого помещения под роспись.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43"/>
      <w:bookmarkEnd w:id="12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3.24. В случае несогласия с видом фактического использования здания (стро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сооружения) и помещения, указанным в распоряжении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РТ, орган местного самоуправления, собственник здания (строения, сооружения) и 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помещения, правообладатель или их уполномоченный представитель вправе направить в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письменное обращение с указанием причин 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согласия.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вправе представить документы, фот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видеоматери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лы, подтверждающие иной вид фактического использования здания (строения, 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оружения) и нежилого помещения, отличный от вида фактического использования, определенного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Минземимуществом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3.25.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обеспечивает направление обращения и докуме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тов, представленных заявителем согласно </w:t>
      </w:r>
      <w:hyperlink w:anchor="Par143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3.24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ние 2 рабочих дней в комиссию.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3.26. Комиссия в течение 3 рабочих дней с момента поступления обращения принимает и представляет в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одно из следующих решений: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47"/>
      <w:bookmarkEnd w:id="13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 соответствии объекта недвижимого имущества условиям, установленным </w:t>
      </w:r>
      <w:hyperlink r:id="rId17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18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и рекоме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дации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Минземимуществу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определить иной вид фактического использования зд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 (строения, сооружения) и нежилого помещения;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48"/>
      <w:bookmarkEnd w:id="14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б) о проведении повторного обследования здания (строения, сооружения) и помещения с указанием срока его проведения, срок проведения повторного обсл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дования определяется в зависимости от количества объектов обследования, их 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стоположения, с учетом территориальной доступности, но не может превышать 3 месяца с момента начала повторного обследования;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49"/>
      <w:bookmarkEnd w:id="15"/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в) о несоответствии объекта недвижимого имущества условиям, установле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</w:t>
      </w:r>
      <w:hyperlink r:id="rId19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0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и рек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мендации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Минземимуществу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оставить вид фактического использования здания (строения, сооружения) и нежилого помещения без изменения.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3.27.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случае принятия комиссией решения о соотве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объекта недвижимого имущества условиям, установленным </w:t>
      </w:r>
      <w:hyperlink r:id="rId21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2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принимает решение об определении вида фактического использования здания (строения, сооружения) и нежилого помещения;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объект недвижимого имущества в список объектов недвижимого имущества, подлежащих включению в перечень на очередной налоговый период;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комиссией решения о несоответствии объекта недвижимого имущества условиям, установленным </w:t>
      </w:r>
      <w:hyperlink r:id="rId23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4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са Российской Федерации, 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исключает объект недвижимого имущества из списка об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ектов недвижимого имущества, подлежащих включению в перечень на очередной налоговый период.</w:t>
      </w:r>
      <w:proofErr w:type="gramEnd"/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3.28. </w:t>
      </w:r>
      <w:proofErr w:type="spellStart"/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срок не позднее 5 рабочих дней со дня оформл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ния протокола заседания комиссии направляет в адрес заявителя письменное ув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домление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объекта недвижимого имущества в список объектов недв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жимого имущества, подлежащих включению в перечен</w:t>
      </w:r>
      <w:r w:rsidR="003C4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на очередной налоговый период, 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либо об исключении объекта недвижимого имущества из списка объектов недвижимого имущества, подлежащих включению в перечень на очередной налог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вый период, и размещает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указанную информацию на официальном сайте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3.29. По результатам рассмотрения решения комиссии, указанного в </w:t>
      </w:r>
      <w:hyperlink w:anchor="Par147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те 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3.26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не позднее 5 рабочих дней после дня поступления такой рекомендации принимает решение об определ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вида фактического использования зданий (строений, сооружений) и нежилых помещений и размещает указанную информацию на официальном сайте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3.30. Комиссия в течение 15 рабочих дней со дня получения заявления ра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сматривает его и по результатам рассмотрения направляет заявителю уведомление о проведении повторного обследования объекта недвижимости (далее </w:t>
      </w:r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повторное 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следование) с указанием даты проведения повторного обследования, либо уведо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ление об отказе в проведении повторного обследования с указанием причин отказа.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комиссии, указанного в </w:t>
      </w:r>
      <w:hyperlink w:anchor="Par148" w:history="1">
        <w:r w:rsidR="00C81701"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C81701"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3.26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рабочая группа в срок, указанный в решении комиссии, пров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 повторное обследование зданий (строений, сооружений) и нежилых помещений и представляет его результаты в комиссию в соответствии с </w:t>
      </w:r>
      <w:hyperlink w:anchor="Par126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3.14</w:t>
        </w:r>
      </w:hyperlink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ar136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3.20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Срок повторного обследования определяется комиссией. Объекты недвиж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мости, в отношении которых проводится повторное обследование, в план обслед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вания не включаются.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повторного обследования составляется новый акт обследования объекта недвижимости в соответствии с требованиями, установле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Порядком.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проведения повторного обследования не позднее 15 рабочих дней со дня проведения повторного обследования размещается на оф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циальном сайте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проведении повторного обследования являются: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неуполномоченным лицом;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несоответствие заявления требованиям, установленным </w:t>
      </w:r>
      <w:hyperlink w:anchor="Par98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Порядка, и (или) наличие в заявлении недостоверных сведений.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 По результатам повторного обследования зданий (строений, сооружений) и нежилых помещений комиссия принимает решение, указанное в </w:t>
      </w:r>
      <w:hyperlink w:anchor="Par147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подпунктах 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49" w:history="1"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  <w:r w:rsidR="00693D8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3.26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которое представляется в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3.32. Сведения, подлежащие включению в перечень объектов недвижимого имущества, указанных в </w:t>
      </w:r>
      <w:hyperlink r:id="rId25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6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2 пункта 1 статьи 378.2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которых налоговая база 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proofErr w:type="gram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дастровая стоимость направляются </w:t>
      </w:r>
      <w:proofErr w:type="spell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r w:rsidR="00F676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в Управление Фед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ральной налоговой службы по Республике Тыва в форме перечня в соответствии с </w:t>
      </w:r>
      <w:hyperlink r:id="rId27" w:history="1">
        <w:r w:rsidRPr="004873B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налоговой сл</w:t>
      </w:r>
      <w:r w:rsidR="00AC2ACD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ужбы России от 30 июня 2020 г. 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ЕД-7-21/409 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сведений, подлежащих включению в перечень объектов недвижимого имущества, указанных в подпунктах 1 и 2 пункта 1 статьи 378.2 Нал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гового кодекса Российской Федерации, в отношении которых налоговая база опр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как кадастровая стоимость, формата представления и порядка направления указанных сведений в электронной форме в налоговый орган по субъекту Росси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и о признании утратившим силу приказа Федеральной налогов</w:t>
      </w:r>
      <w:r w:rsidR="00AC2ACD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</w:t>
      </w:r>
      <w:proofErr w:type="gramEnd"/>
      <w:r w:rsidR="00AC2ACD"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ноября 2014 г. №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ММВ-7-11/604</w:t>
      </w:r>
      <w:r w:rsidR="00693D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87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19B" w:rsidRDefault="00A6119B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19B" w:rsidRDefault="00A6119B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19B" w:rsidRPr="004873B3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875850" w:rsidRPr="004873B3" w:rsidRDefault="00875850" w:rsidP="00487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69D" w:rsidRDefault="00B8069D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8069D" w:rsidSect="004873B3">
          <w:pgSz w:w="11905" w:h="16838" w:code="9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6E92" w:rsidRPr="00B8069D">
        <w:rPr>
          <w:rFonts w:ascii="Times New Roman" w:hAnsi="Times New Roman" w:cs="Times New Roman"/>
          <w:sz w:val="28"/>
          <w:szCs w:val="28"/>
        </w:rPr>
        <w:t>№</w:t>
      </w:r>
      <w:r w:rsidRPr="00B8069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к Порядку определения вида</w:t>
      </w: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фактического использования</w:t>
      </w: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зданий (строений, сооружений)</w:t>
      </w: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и нежилых помещений</w:t>
      </w: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для целей налогообложения</w:t>
      </w:r>
    </w:p>
    <w:p w:rsidR="00875850" w:rsidRPr="00B8069D" w:rsidRDefault="00875850" w:rsidP="00B80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8069D" w:rsidRDefault="00B8069D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180"/>
      <w:bookmarkEnd w:id="16"/>
    </w:p>
    <w:p w:rsidR="00B8069D" w:rsidRDefault="00B8069D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B8069D" w:rsidRDefault="00875850" w:rsidP="00B8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9D">
        <w:rPr>
          <w:rFonts w:ascii="Times New Roman" w:hAnsi="Times New Roman" w:cs="Times New Roman"/>
          <w:b/>
          <w:sz w:val="28"/>
          <w:szCs w:val="28"/>
        </w:rPr>
        <w:t>М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Е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Т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О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Д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И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К</w:t>
      </w:r>
      <w:r w:rsidR="00B80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/>
          <w:sz w:val="28"/>
          <w:szCs w:val="28"/>
        </w:rPr>
        <w:t>А</w:t>
      </w:r>
    </w:p>
    <w:p w:rsidR="00875850" w:rsidRPr="00B8069D" w:rsidRDefault="00B8069D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определения вида фактического использования</w:t>
      </w:r>
    </w:p>
    <w:p w:rsidR="00B8069D" w:rsidRDefault="00B8069D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 xml:space="preserve">зданий (строений, сооружений) и нежилых </w:t>
      </w:r>
    </w:p>
    <w:p w:rsidR="00875850" w:rsidRPr="00B8069D" w:rsidRDefault="00B8069D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sz w:val="28"/>
          <w:szCs w:val="28"/>
        </w:rPr>
        <w:t>для целей налогообложения</w:t>
      </w:r>
    </w:p>
    <w:p w:rsidR="00875850" w:rsidRPr="00B8069D" w:rsidRDefault="00875850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B8069D" w:rsidRDefault="00875850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6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5850" w:rsidRPr="00B8069D" w:rsidRDefault="00875850" w:rsidP="00B80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определения вида фактического использования зданий (строений, сооружений) и нежилых помещений для целей налогообложения (далее </w:t>
      </w:r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методика) разработана в целях использования при проведении мероприятий по определению вида фактического использования зданий (строений, сооружений) и нежилых помещений (далее </w:t>
      </w:r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нежилого фонда) для целей налогообложения.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1.1. Основные понятия, применяемые в настоящей методике: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площадь объекта нежилого фонда </w:t>
      </w:r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суммарная площадь всех помещ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ний объекта обследования: здания (строения, сооружения) и нежилого помещения (в том числе административно-делового или торгового центра (комплекса)), определ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емая на основании документов технического учета (инвентаризации) и (или) свед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о таком учете (инвентаризации), сведений Единого государственного реестра недвижимости (далее </w:t>
      </w:r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ЕГРН) (при наличии соответствующих документов и свед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ний), и (или) фактических обследований;</w:t>
      </w:r>
      <w:proofErr w:type="gramEnd"/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полезная нежилая площадь </w:t>
      </w:r>
      <w:r w:rsidR="00B8069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нежилая площадь торгового, офисного, спорти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ного, административного, социального и другого назначения, используемая для осуществления ее собственниками (владельцами, пользователями) деятельности, в том числе площадь вспомогательных помещений, не относящихся к помещениям общего пользования (в частности: места размещения инженерно-технологического оборудования, комната ожидания посетителей, комнаты хранения), используемая указанными собственниками (владельцами, пользователями), а также балконы и 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тресоли в залах, фойе и т.п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., за исключением лестничных клеток, лифтовых шахт, внутренних открытых лестниц и пандусов;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общего пользования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помещения, используемые одновременно несколькими собственниками (владельцами, пользователями) зданий (строений,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оружений) и нежилых помещений, в отношении которых проводятся мероприятия по определению вида фактического использования (в частности: общие входные группы, общие коридоры, лифтовые холлы, санузлы, подвалы, чердаки, парковки, места размещения инженерно-технологического оборудования, обслуживающего все здание (строение, сооружение) и нежилое помещение);</w:t>
      </w:r>
      <w:proofErr w:type="gramEnd"/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применения настоящей методики под частью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 понимается этаж здания (строения, сооружения), часть этажа здания (строения, сооружения), подвал (подвальный этаж) здания (строения, сооружения), чердак (чердачные помещения) здания (строения, сооружения), мансардные пом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щения (мансарда, мансардный этаж) здания (строения, сооружения) и иные пом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щения здания (строения, сооружения), в которых расположены помещения общего пользования и полезная нежилая площадь (при ее наличии в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части здания (строения, сооружения);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применения настоящей методики под частью нежилого помещения понимается ограниченное или неограниченное преградами (стенами, перегородк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ми, перекрытиями) пространство, которое можно идентифицировать на основании документов технического учета (инвентаризации) и (или) сведений о таком учете (инвентаризации), сведений ЕГРН и (или) фактических обследований.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7" w:name="Par195"/>
      <w:bookmarkEnd w:id="17"/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Методика определения вида фактического</w:t>
      </w:r>
    </w:p>
    <w:p w:rsidR="00941714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использования нежилых зданий (строений, </w:t>
      </w:r>
      <w:proofErr w:type="gramEnd"/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сооружений)</w:t>
      </w:r>
      <w:r w:rsidR="009417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целей налогообложения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99"/>
      <w:bookmarkEnd w:id="18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2.1. На основании документов технического учета (инвентаризации), сведений из ЕГРН, договоров, предусматривающих переход прав владения и (или) пользов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ния на объекты недвижимого имущества, а также обследований (фактических изм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рений, обмеров) подлежат определению: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а) общая площадь недвижимого имущества (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б) общая полезная нежилая площадь нежилого здания (строения, сооружения) (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.), а также полезная нежилая площадь, используемая для осуществления ка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F6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 из видов деятельности, 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торговых помещений;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общественного питания;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быт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бытового обслуживания;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в) площадь помещений общего пользования (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208"/>
      <w:bookmarkEnd w:id="19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На основании данных </w:t>
      </w:r>
      <w:hyperlink w:anchor="Par199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2.1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 определяется пл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щадь помещений общего пользования, используемых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.-пит.,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.-быт.), из пропорции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.;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 =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пит.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Sпит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.=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Sбыт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рассчитываемая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произведение площади, используемой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Sторг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Sпит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Sбыт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.), и отношения площади помещений общего пользования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 к общей полезной нежилой площади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.):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941714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=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оф.*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пользования, используемых для ос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полезная нежилая площадь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жения).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 = </w:t>
      </w:r>
      <w:proofErr w:type="spellStart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торг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* </w:t>
      </w:r>
      <w:proofErr w:type="spellStart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./</w:t>
      </w:r>
      <w:proofErr w:type="spell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Sисп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пользования, используемых для осуществления деятельности торговых помещений;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торговых помещений;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полезная нежилая площадь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жения).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пит.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пит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* </w:t>
      </w:r>
      <w:proofErr w:type="spellStart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Sисп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пользования, используемых для ос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деятельности помещений общественного питания;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общественного питания;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полезная нежилая площадь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жения).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 = </w:t>
      </w:r>
      <w:proofErr w:type="spellStart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быт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* </w:t>
      </w:r>
      <w:proofErr w:type="spellStart"/>
      <w:proofErr w:type="gram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</w:t>
      </w:r>
      <w:proofErr w:type="spellStart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Sисп</w:t>
      </w:r>
      <w:proofErr w:type="spellEnd"/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875850" w:rsidRPr="00B8069D" w:rsidRDefault="00875850" w:rsidP="009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пользования, используемых для ос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деятельности помещений бытового обслуживания;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быт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бытового обслуживания;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17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полезная нежилая площадь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доли помещений общего пользования, используемых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.-пит.,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быт.), размер площади помещений общего пользования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 рассчитывается в 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ношении каждой части здания (строения, сооружения) и относится только к поле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ной нежилой площади, расположенной в данной части здания (строения, сооруж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ния), если иное не предусмотрено настоящим пунктом.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полезной нежилой площади в соответствующей части здания (строения, сооружения), где расположено помещение общего пользования, или при использовании помещения общего пользования всеми собственниками (владельц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ми, пользователями) здания (строения, сооружения) размер площади помещения общего пользования относится ко всей полезной нежилой площади здания (стро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ния, сооружения).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 помещения общего пользования, расположенного в одной части здания (строения, сооружения), только собственниками (владельцами, польз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вателями) полезной нежилой площади, расположенной в другой (других) части (ч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стях) здания (строения, сооружения), размер площади помещения общего пользов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ния относится к полезной нежилой площади таких собственников (владельцев, пользователей).</w:t>
      </w:r>
      <w:proofErr w:type="gramEnd"/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254"/>
      <w:bookmarkEnd w:id="20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На основании данных, определенных в соответствии с </w:t>
      </w:r>
      <w:hyperlink w:anchor="Par199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2.1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08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методики, определяется размер фактической площади нежилого здания (строения, сооружения), используемой при осуществлении каждого из видов де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.-пит.,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.-быт.), рассчитываемый как сумма площади, используемой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Sторг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Sпит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Sбыт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.), и соответствующей площади помещений общего пол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зования, используемых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.-пит,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.-быт.),</w:t>
      </w:r>
      <w:r w:rsidR="00A8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150BF7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=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+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Sоп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.-оф.,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жения), используемой при осуществлении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общего пользования, используемых для ос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деятельности офисов.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 здании (строении, сооружении) расположено несколько н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жилых помещений, используемых при осуществлении одного и того же вида де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(Sоф.1, Sоф.2, Sоф.3), размер фактической площади всего объекта недв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жимого имущества, используемой при осуществлении каждого из видов деятельн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.-оф.), рассчитывается как сумма фактических площадей объекта недв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жимого имущества, используемых при осуществлении каждого из однородных в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дов деятельности (Sфакт.-оф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.1, 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факт.-оф.2, Sфакт.-оф.3):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= 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факт.-о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ф.1 + Sфакт.-оф.2 + Sфакт.-оф.3,</w:t>
      </w:r>
    </w:p>
    <w:p w:rsidR="00150BF7" w:rsidRDefault="00150BF7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Default="00A845A9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Pr="00B8069D" w:rsidRDefault="00A845A9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жения), используемой при осуществлении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факт.-оф.1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оружения), используемой при осуществлении деятельности офиса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факт.-оф.2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оружения), используемой при осуществлении деятельности офиса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факт.-оф.3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оружения), используемой при осуществлении деятельности офиса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 здании (строении, сооружении) расположено несколько н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жилых помещений, используемых одновременно как в целях делового, администр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тивного или коммерческого назначения (офисы и офисная инфраструктура), так и в целях размещения торговых объектов, объектов общественного питания и (или) объектов бытового обслуживания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Sоф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Sторг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Sпит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Sбыт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.), размер фактической площади всего объекта недвижимого имущества, используемого при осуществлении указанных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факт.), рассчитывается как сумма фактич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ских площадей объекта недвижимого имущества, используемых при осуществлении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.-оф., S 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.-пит., S факт.-быт.):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факт. = 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.-оф.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 +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пит. +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быт.)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оружения), используемой при осуществлении всех видов деятельности;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соор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жения), используемой при осуществлении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оружения), используемой при осуществлении деятельности торговых объектов;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оружения), используемой при осуществлении деятельности объектов общественного питания;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оружения), используемой при осуществлении деятельности объектов бытового 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служивания.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284"/>
      <w:bookmarkEnd w:id="21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На основании данных, определенных в соответствии с </w:t>
      </w:r>
      <w:hyperlink w:anchor="Par254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ящей методики, определяется доля в процентах (целые проценты, десятые и сотые доли процентов) фактической площади нежилого здания (строения, сооружения), используемой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.-пит.+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быт.), в общей площади объекта недвижимого имущества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.), например: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оф.)% =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оф.) / 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 x 100%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где:</w:t>
      </w:r>
    </w:p>
    <w:p w:rsidR="00875850" w:rsidRPr="00B8069D" w:rsidRDefault="00150BF7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оф.)%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оф.)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оружения), используемой при осуществлении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площади объекта недвижимого имущества.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2.5. Доли (S(факт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оф.)%,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торг.)%,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пит.)%,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быт.)%), определенные в соответствии с </w:t>
      </w:r>
      <w:hyperlink w:anchor="Par284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2.4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методики, суммируются для определения вида фактического использования зданий (строений, сооружений) для целей налогообложения: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SUMS% =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оф.)% +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торг.)% +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пит.)% +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+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быт.)%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150BF7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SUMS%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долей в процентах (целые проценты, десятые и сотые доли процентов) фактической площади нежилого здания (строения, сооружения);</w:t>
      </w:r>
    </w:p>
    <w:p w:rsidR="00875850" w:rsidRPr="00B8069D" w:rsidRDefault="00150BF7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оф.)%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офисов;</w:t>
      </w:r>
    </w:p>
    <w:p w:rsidR="00875850" w:rsidRPr="00B8069D" w:rsidRDefault="00150BF7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торг.)%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торговых объектов;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пит.)%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объектов общественного питания;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быт.)% </w:t>
      </w:r>
      <w:r w:rsidR="00150B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объектов бытового обслуживания.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2" w:name="Par305"/>
      <w:bookmarkEnd w:id="22"/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Методика определения вида фактического использования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нежилых помещений для целей налогообложения</w:t>
      </w:r>
    </w:p>
    <w:p w:rsidR="00875850" w:rsidRPr="00B8069D" w:rsidRDefault="00875850" w:rsidP="0015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308"/>
      <w:bookmarkEnd w:id="23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3.1. На основании документов технического учета (инвентаризации) и (или) сведений о таком учете (инвентаризации), сведений ЕГРН и (или) фактических 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следований подлежат определению: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1) общая площадь нежилого помещения (</w:t>
      </w: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2) размер площади нежилого помещения, фактически используемой для ос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ществления каждого из видов деятельности, рассчитываемый как сумма площадей частей нежилого помещения, используемых для осуществления каждого из видов деятельности, например: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офисов</w:t>
      </w:r>
      <w:r w:rsidR="00A845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торговых помещений</w:t>
      </w:r>
      <w:r w:rsidR="00A845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пит.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общественного питания</w:t>
      </w:r>
      <w:r w:rsidR="00A845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помещений бытового обслуживания.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315"/>
      <w:bookmarkEnd w:id="24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На основании данных, определенных в соответствии с </w:t>
      </w:r>
      <w:hyperlink w:anchor="Par308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ящей методики, определяется доля в процентах (целые проценты, десятые и сотые доли процентов) площади нежилого помещения, фактически используемой для осуществления каждого из видов деятельности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.-оф.,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.-пит., 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Sфакт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.-быт.), в общей площади нежилого помещения (</w:t>
      </w:r>
      <w:proofErr w:type="spell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.), например: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оф.)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% = S(факт</w:t>
      </w:r>
      <w:proofErr w:type="gramStart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оф.) / </w:t>
      </w:r>
      <w:proofErr w:type="spellStart"/>
      <w:proofErr w:type="gramStart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. x 100%,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43022D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оф.)%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офисов;</w:t>
      </w:r>
    </w:p>
    <w:p w:rsidR="00875850" w:rsidRPr="00B8069D" w:rsidRDefault="0043022D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оф.)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фактической площади нежилого здания (строения, с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оружения), используемой при осуществлении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площади объекта недвижимого имущества.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3.3. Доли (S(факт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оф.)%,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торг.)%,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пит.)%,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быт.)%), определенные в соответствии с </w:t>
      </w:r>
      <w:hyperlink w:anchor="Par315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методики, суммируются для определения вида фактического использования нежилых помещений для целей налогообложения: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SUMS% =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оф.)% +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торг.)% +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пит.)% +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+ 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быт.)%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875850" w:rsidRPr="00B8069D" w:rsidRDefault="0043022D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SUM S%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долей в процентах (целые проценты, десятые и сотые доли процентов) фактической площади нежилого здания (строения, сооружения);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оф.)% 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офисов;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торг.)%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торговых объектов;</w:t>
      </w:r>
    </w:p>
    <w:p w:rsidR="00875850" w:rsidRPr="00B8069D" w:rsidRDefault="0043022D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пит.)% –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75850"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объектов общественного питания;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S(факт</w:t>
      </w:r>
      <w:proofErr w:type="gramStart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быт.)% </w:t>
      </w:r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доля в процентах (целые проценты, десятые и сотые доли процентов) фактической площади нежилого здания (строения, сооружения), испол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зуемой для осуществления деятельности объектов бытового обслуживания.</w:t>
      </w:r>
    </w:p>
    <w:p w:rsidR="0043022D" w:rsidRDefault="0043022D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Default="00A845A9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Default="00A845A9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Pr="00B8069D" w:rsidRDefault="00A845A9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22D" w:rsidRDefault="00875850" w:rsidP="0043022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 Заключение о виде фактического использования 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</w:t>
      </w:r>
      <w:r w:rsidR="004302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806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недвижимого имущества</w:t>
      </w:r>
    </w:p>
    <w:p w:rsidR="00875850" w:rsidRPr="00B8069D" w:rsidRDefault="00875850" w:rsidP="0043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Вид фактического использования объекта недвижимого имущества определ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на основании расчетных данных, указанных в </w:t>
      </w:r>
      <w:hyperlink w:anchor="Par195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разделах 2</w:t>
        </w:r>
      </w:hyperlink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ar305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ки, с учетом положений </w:t>
      </w:r>
      <w:hyperlink r:id="rId28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="004302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29" w:history="1">
        <w:r w:rsidRPr="00B8069D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378.2</w:t>
        </w:r>
      </w:hyperlink>
      <w:r w:rsidRPr="00B8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Федерации.</w:t>
      </w:r>
    </w:p>
    <w:p w:rsidR="00875850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Default="00A845A9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5A9" w:rsidRPr="00B8069D" w:rsidRDefault="00A845A9" w:rsidP="00A84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875850" w:rsidRPr="00B8069D" w:rsidRDefault="00875850" w:rsidP="00B8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22D" w:rsidRDefault="0043022D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3022D" w:rsidSect="004873B3">
          <w:pgSz w:w="11905" w:h="16838" w:code="9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46E92" w:rsidRPr="0043022D">
        <w:rPr>
          <w:rFonts w:ascii="Times New Roman" w:hAnsi="Times New Roman" w:cs="Times New Roman"/>
          <w:sz w:val="28"/>
          <w:szCs w:val="28"/>
        </w:rPr>
        <w:t>№</w:t>
      </w:r>
      <w:r w:rsidRPr="0043022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к Порядку определения вида</w:t>
      </w: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фактического использования</w:t>
      </w: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зданий (строений, сооружений)</w:t>
      </w: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и нежилых помещений</w:t>
      </w: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для целей налогообложения</w:t>
      </w:r>
    </w:p>
    <w:p w:rsidR="00875850" w:rsidRPr="0043022D" w:rsidRDefault="00875850" w:rsidP="004302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3022D" w:rsidRDefault="0043022D" w:rsidP="0043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352"/>
      <w:bookmarkEnd w:id="25"/>
    </w:p>
    <w:p w:rsidR="0043022D" w:rsidRDefault="0043022D" w:rsidP="0043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43022D" w:rsidRDefault="00875850" w:rsidP="0043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2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О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Л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О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Ж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Е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Н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И</w:t>
      </w:r>
      <w:r w:rsidR="0043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22D">
        <w:rPr>
          <w:rFonts w:ascii="Times New Roman" w:hAnsi="Times New Roman" w:cs="Times New Roman"/>
          <w:b/>
          <w:sz w:val="28"/>
          <w:szCs w:val="28"/>
        </w:rPr>
        <w:t>Е</w:t>
      </w:r>
    </w:p>
    <w:p w:rsidR="00875850" w:rsidRPr="0043022D" w:rsidRDefault="0043022D" w:rsidP="0043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о межведомственной комиссии по рассмотрению вопросов</w:t>
      </w:r>
    </w:p>
    <w:p w:rsidR="00875850" w:rsidRPr="0043022D" w:rsidRDefault="0043022D" w:rsidP="0043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определения вида фактического использования зданий</w:t>
      </w:r>
    </w:p>
    <w:p w:rsidR="00875850" w:rsidRPr="0043022D" w:rsidRDefault="0043022D" w:rsidP="0043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22D">
        <w:rPr>
          <w:rFonts w:ascii="Times New Roman" w:hAnsi="Times New Roman" w:cs="Times New Roman"/>
          <w:sz w:val="28"/>
          <w:szCs w:val="28"/>
        </w:rPr>
        <w:t>(строений, сооружений) и нежилых помещений</w:t>
      </w:r>
    </w:p>
    <w:p w:rsidR="00875850" w:rsidRPr="0043022D" w:rsidRDefault="00875850" w:rsidP="00430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определяет основные задачи, полномочия и порядок деятельности межведомственной комиссии по рассмотрению вопросов определения вида фактического использования зданий (строений, сооружений) и нежилых пом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щений для целей налогообложения, по включению, исключению объектов недв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жимости из предварительного перечня на очередной налоговый период (далее </w:t>
      </w:r>
      <w:r w:rsidR="005E2A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A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комиссия).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создается для дачи Министерству земельных и имущественных отношений Республики Тыва (далее </w:t>
      </w:r>
      <w:r w:rsidR="00E22D5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РТ) рекомендаций по определению вида фактического использования зданий (строений, сооружений) и помещений для целей налогообложения, по включению, исключению объектов н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 из предварительного перечня на очередной налоговый период.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своей деятельности комиссия руководствуется Федеральным </w:t>
      </w:r>
      <w:hyperlink r:id="rId30" w:history="1">
        <w:r w:rsidRPr="004302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7E46D4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№ 221-ФЗ </w:t>
      </w:r>
      <w:r w:rsidR="00693D8B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46D4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кадастровой деятельности</w:t>
      </w:r>
      <w:r w:rsidR="00693D8B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, иными нормативными правовыми актами Российской Федерации и Республики Тыва, настоящим Полож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нием.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Состав комиссии утверждается решением </w:t>
      </w:r>
      <w:proofErr w:type="spellStart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5. Комиссия состоит из председателя, заместителя председателя, секретаря и иных членов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руководит деятельностью комиссии, назначает дату и утверждает повестку заседания комиссии, председательствует на заседаниях коми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сии, подписывает соответствующие документы.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</w:t>
      </w:r>
      <w:r w:rsidR="005E2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сутствия председателя комиссии 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его функции выполняет замест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тель председателя комиссии, либо лицо, заменяющее председателя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 обеспечивает работу межведомственной комиссии, в том числе оповещает членов комиссии о дате и времени заседаний, ведет делопроизво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по вопросам деятельности комиссии, обеспечивает хранение материалов и </w:t>
      </w:r>
      <w:r w:rsidR="005E2A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последующую </w:t>
      </w:r>
      <w:r w:rsidR="005E2A99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передачу в архив, консультирует по порядку работы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составе межведомственной комиссии должно быть не менее пяти человек.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 обязательном порядке включаются представители: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Минземимущества</w:t>
      </w:r>
      <w:proofErr w:type="spellEnd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финансов Республики Тыва;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бюджетного учреждения Респ</w:t>
      </w:r>
      <w:r w:rsidR="007E46D4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ублики Тыва </w:t>
      </w:r>
      <w:r w:rsidR="00693D8B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Центр гос</w:t>
      </w:r>
      <w:r w:rsidR="007E46D4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r w:rsidR="007E46D4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E46D4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кадастровой оценки</w:t>
      </w:r>
      <w:r w:rsidR="00693D8B"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по защите прав предпринимателей в Республике Тыва;</w:t>
      </w:r>
    </w:p>
    <w:p w:rsidR="00875850" w:rsidRPr="00E22D58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в состав комиссии включаются представители: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федеральной налоговой службы по Республике Тыва;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федеральной службы государственной регистрации, кадастра и картографии по Республике Тыва;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муниципальных образований Республики Тыва, на территории которого располагается объект недвижимости, в отношении которого осуществляется обследование.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7. Комиссия в соответствии с Порядком определения вида фактического 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зданий (строений, сооружений) и нежилых помещений для целей нал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гообложения, установленным Правительством Республики Тыва, осуществляет сл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дующие полномочия: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рассматривает вопросы, касающиеся подготовки рекомендаций </w:t>
      </w:r>
      <w:proofErr w:type="spellStart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Минзем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муществу</w:t>
      </w:r>
      <w:proofErr w:type="spellEnd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по определению вида фактического использования зданий (строений, сооружений) и нежилых помещений для целей налогообложения, по включению, исключению объектов недвижимости из предварительного перечня на очередной налоговый период;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2) поручает рабочим группам обеспечение проведения повторного обследов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ния зданий (строений, сооружений) и нежилых помещений;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в установленном порядке от исполнительных органов госуда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Республики Тыва, органов местного самоуправления муниципал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образований Республики Тыва, собственников, заявителей или уполномоче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ных представителей заявителей, юридических лиц информацию и материалы, нео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ходимые для осуществления своей деятельности;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представляет в </w:t>
      </w:r>
      <w:proofErr w:type="spellStart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Минземимущество</w:t>
      </w:r>
      <w:proofErr w:type="spellEnd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решение, содержащее рекомендацию по определению вида фактического использования здания (строения, сооружения) и нежилого помещения, по включению, исключению объектов недвижимости из предварительного перечня на очередной налоговый период;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5) осуществляет взаимодействие с исполнительными органами государстве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ной власти Республики Тыва, органами местного самоуправления муниципальных образований Республики Тыва по вопросам, относящимся к компетенции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8. Комиссия осуществляет свою деятельность в форме заседаний, провод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мых, в том числе в режиме видео-конференц-связи.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комиссии считается правомочным, если в нем участвуют более п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ловины общего числа членов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принимает решения простым большинством голосов от числа пр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сутствующих на заседании членов комиссии. В случае равенства голосов голос председательствующего на заседании комиссии является решающим.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оформляются протоколом заседания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заседания комиссии подписывается председателем комиссии в теч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ние 3 рабочих дней со дня проведения заседания в соответствии с решением коми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сии, котор</w:t>
      </w:r>
      <w:r w:rsidR="00587517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присутствовавшими членами комиссии и утверждается председателем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комиссии, не согласные с принятым решением, вправе письменно и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ложить свое особое мнение, которое приобщается к принятому решению.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(копии протокола заседания комиссии или выписки из н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го) в течение 3 рабочих дней после дня подписания направляется в </w:t>
      </w:r>
      <w:proofErr w:type="spellStart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Минземимущ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ство</w:t>
      </w:r>
      <w:proofErr w:type="spellEnd"/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9. Организационно-техническое и документационное обеспечение деятельн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3022D">
        <w:rPr>
          <w:rFonts w:ascii="Times New Roman" w:hAnsi="Times New Roman" w:cs="Times New Roman"/>
          <w:color w:val="000000" w:themeColor="text1"/>
          <w:sz w:val="28"/>
          <w:szCs w:val="28"/>
        </w:rPr>
        <w:t>сти комиссии осуществляет секретарь комиссии.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517" w:rsidRPr="0043022D" w:rsidRDefault="00587517" w:rsidP="0058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875850" w:rsidRPr="0043022D" w:rsidRDefault="00875850" w:rsidP="00430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D58" w:rsidRDefault="00E22D58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22D58" w:rsidSect="004873B3">
          <w:pgSz w:w="11905" w:h="16838" w:code="9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:rsidR="00875850" w:rsidRPr="00E22D58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 № 3</w:t>
      </w:r>
    </w:p>
    <w:p w:rsidR="00875850" w:rsidRPr="00E22D58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4"/>
        </w:rPr>
        <w:t>к Порядку определения вида</w:t>
      </w:r>
    </w:p>
    <w:p w:rsidR="00875850" w:rsidRPr="00E22D58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4"/>
        </w:rPr>
        <w:t>фактического использования</w:t>
      </w:r>
    </w:p>
    <w:p w:rsidR="00875850" w:rsidRPr="00E22D58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4"/>
        </w:rPr>
        <w:t>зданий (строений, сооружений)</w:t>
      </w:r>
    </w:p>
    <w:p w:rsidR="00875850" w:rsidRPr="00E22D58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4"/>
        </w:rPr>
        <w:t>и нежилых помещений</w:t>
      </w:r>
    </w:p>
    <w:p w:rsidR="00875850" w:rsidRPr="00E22D58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2D58">
        <w:rPr>
          <w:rFonts w:ascii="Times New Roman" w:hAnsi="Times New Roman" w:cs="Times New Roman"/>
          <w:color w:val="000000" w:themeColor="text1"/>
          <w:sz w:val="28"/>
          <w:szCs w:val="24"/>
        </w:rPr>
        <w:t>для целей налогообложения</w:t>
      </w:r>
    </w:p>
    <w:p w:rsidR="00875850" w:rsidRDefault="00875850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22D58" w:rsidRDefault="00E22D58" w:rsidP="00E22D5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Форма</w:t>
      </w:r>
    </w:p>
    <w:p w:rsidR="00E22D58" w:rsidRPr="00E22D58" w:rsidRDefault="00E22D58" w:rsidP="00E22D5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jc w:val="center"/>
        <w:tblInd w:w="-1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2"/>
        <w:gridCol w:w="1025"/>
        <w:gridCol w:w="3901"/>
      </w:tblGrid>
      <w:tr w:rsidR="00875850" w:rsidRPr="008F4BA5" w:rsidTr="00D31DF9">
        <w:trPr>
          <w:jc w:val="center"/>
        </w:trPr>
        <w:tc>
          <w:tcPr>
            <w:tcW w:w="5212" w:type="dxa"/>
          </w:tcPr>
          <w:p w:rsidR="00875850" w:rsidRPr="008F4BA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 Министерство земельных и имущ</w:t>
            </w: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е</w:t>
            </w: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ственных отношений Республики Тыва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от 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875850" w:rsidRPr="00D31DF9" w:rsidRDefault="00875850" w:rsidP="00D3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юридического лица)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875850" w:rsidRPr="00D31DF9" w:rsidRDefault="00875850" w:rsidP="00D3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физического лица, индивидуального предпринимателя)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D31DF9" w:rsidRDefault="00875850" w:rsidP="00D3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(реквизиты документа, удостоверяющего </w:t>
            </w:r>
            <w:proofErr w:type="gramEnd"/>
          </w:p>
          <w:p w:rsidR="00F37F24" w:rsidRDefault="00875850" w:rsidP="00F3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 гражданина)</w:t>
            </w:r>
          </w:p>
          <w:p w:rsidR="00875850" w:rsidRPr="00E22D58" w:rsidRDefault="00875850" w:rsidP="00F37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</w:t>
            </w:r>
          </w:p>
          <w:p w:rsidR="00875850" w:rsidRPr="00D31DF9" w:rsidRDefault="00875850" w:rsidP="00D3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(серия и номер, дата выдачи, выдавший орган)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Местонахождение юридического лица либо адрес фактического проживания физического лица: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875850" w:rsidRPr="00D31DF9" w:rsidRDefault="00875850" w:rsidP="00D3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 (при наличии)</w:t>
            </w:r>
          </w:p>
          <w:p w:rsidR="00875850" w:rsidRPr="00E22D58" w:rsidRDefault="00875850" w:rsidP="00E2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22D5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</w:t>
            </w:r>
            <w:r w:rsidR="00D31DF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</w:t>
            </w:r>
          </w:p>
          <w:p w:rsidR="00875850" w:rsidRPr="008F4BA5" w:rsidRDefault="00875850" w:rsidP="00D3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(при наличии)</w:t>
            </w:r>
          </w:p>
        </w:tc>
      </w:tr>
      <w:tr w:rsidR="00875850" w:rsidRPr="008F4BA5" w:rsidTr="00E22D58">
        <w:trPr>
          <w:jc w:val="center"/>
        </w:trPr>
        <w:tc>
          <w:tcPr>
            <w:tcW w:w="10138" w:type="dxa"/>
            <w:gridSpan w:val="3"/>
          </w:tcPr>
          <w:p w:rsidR="00FC4DB5" w:rsidRDefault="00FC4DB5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bookmarkStart w:id="26" w:name="Par435"/>
            <w:bookmarkEnd w:id="26"/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ЗАЯВЛЕНИЕ</w:t>
            </w:r>
          </w:p>
          <w:p w:rsidR="00FC4DB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о проведении обследования здания (строения, </w:t>
            </w:r>
            <w:proofErr w:type="gramEnd"/>
          </w:p>
          <w:p w:rsidR="00875850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сооружения)</w:t>
            </w:r>
            <w:r w:rsidR="00FC4DB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 нежилого помещения</w:t>
            </w:r>
          </w:p>
          <w:p w:rsidR="00FC4DB5" w:rsidRPr="00F37F24" w:rsidRDefault="00FC4DB5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875850" w:rsidRPr="008F4BA5" w:rsidTr="00E22D58">
        <w:trPr>
          <w:jc w:val="center"/>
        </w:trPr>
        <w:tc>
          <w:tcPr>
            <w:tcW w:w="10138" w:type="dxa"/>
            <w:gridSpan w:val="3"/>
          </w:tcPr>
          <w:p w:rsidR="00875850" w:rsidRPr="00F37F24" w:rsidRDefault="00875850" w:rsidP="00F37F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Прошу провести обследование ______________________________________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____,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объекта недвижимого имущества)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расположенного</w:t>
            </w:r>
            <w:proofErr w:type="gramEnd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по адресу: 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отсутствии адреса приводится описание местоположения)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площадь: 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назначение: 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кадастровый номер: 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вид фактического использования: 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кадастровый номер земельного участка, на котором расположен объект недвиж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мого имущества: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вид разрешенного использования земельного участка, на котором расположен </w:t>
            </w:r>
            <w:r w:rsidR="006A7D5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объект недвижимого имущества: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  <w:r w:rsidR="006A7D5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вид, номер и дата государственной </w:t>
            </w:r>
            <w:proofErr w:type="gramStart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регистрации</w:t>
            </w:r>
            <w:proofErr w:type="gramEnd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права собственности (владения и (или) пользования):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</w:t>
            </w:r>
            <w:r w:rsidR="006A7D5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FC4DB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 (</w:t>
            </w:r>
            <w:proofErr w:type="gramStart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нужное</w:t>
            </w:r>
            <w:proofErr w:type="gramEnd"/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отметить знаком 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–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V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)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включить 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  <w:r w:rsidR="00FC4DB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__________________________________________________________________</w:t>
            </w:r>
            <w:r w:rsid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объекта недвижимого имущества)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 список объектов недвижимого имущества, подлежащего включению в перечень зданий (строений, сооружений) и нежилых помещений, в отношении которых налоговая база определяется как кадастровая стоимость, на очередной налоговый период;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исключить _______________________________________________________</w:t>
            </w:r>
            <w:r w:rsidR="006A7D5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______________________________________________________</w:t>
            </w:r>
            <w:r w:rsidR="006A7D5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</w:t>
            </w: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</w:t>
            </w:r>
          </w:p>
          <w:p w:rsidR="00875850" w:rsidRPr="00CC327D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объекта недвижимого имущества)</w:t>
            </w: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875850" w:rsidRPr="00F37F24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37F2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из списка объектов недвижимого имущества, подлежащих включению в перечень зданий (строений, сооружений) и нежилых помещений, в отношении которых налоговая база определяется как кадастровая стоимость, на очередной налоговый период.</w:t>
            </w:r>
          </w:p>
        </w:tc>
      </w:tr>
      <w:tr w:rsidR="00875850" w:rsidRPr="008F4BA5" w:rsidTr="00E22D58">
        <w:trPr>
          <w:jc w:val="center"/>
        </w:trPr>
        <w:tc>
          <w:tcPr>
            <w:tcW w:w="10138" w:type="dxa"/>
            <w:gridSpan w:val="3"/>
          </w:tcPr>
          <w:p w:rsidR="00875850" w:rsidRPr="008F4BA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2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Подтверждаю, что сведения, указанные в заявлении, достоверны</w:t>
            </w:r>
          </w:p>
        </w:tc>
      </w:tr>
      <w:tr w:rsidR="00875850" w:rsidRPr="008F4BA5" w:rsidTr="00E22D58">
        <w:trPr>
          <w:jc w:val="center"/>
        </w:trPr>
        <w:tc>
          <w:tcPr>
            <w:tcW w:w="6237" w:type="dxa"/>
            <w:gridSpan w:val="2"/>
          </w:tcPr>
          <w:p w:rsidR="00875850" w:rsidRPr="008F4BA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2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Заявитель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  <w:p w:rsidR="00875850" w:rsidRPr="008F4BA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901" w:type="dxa"/>
          </w:tcPr>
          <w:p w:rsidR="00875850" w:rsidRPr="008F4BA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CC3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875850" w:rsidRPr="008F4BA5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875850" w:rsidRPr="00CC327D" w:rsidTr="00E22D58">
        <w:trPr>
          <w:jc w:val="center"/>
        </w:trPr>
        <w:tc>
          <w:tcPr>
            <w:tcW w:w="10138" w:type="dxa"/>
            <w:gridSpan w:val="3"/>
          </w:tcPr>
          <w:p w:rsidR="00875850" w:rsidRPr="00CC327D" w:rsidRDefault="00693D8B" w:rsidP="002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C32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</w:t>
            </w:r>
            <w:r w:rsidR="00875850" w:rsidRPr="00CC32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</w:t>
            </w:r>
            <w:r w:rsidRPr="00CC32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»</w:t>
            </w:r>
            <w:r w:rsidR="00875850" w:rsidRPr="00CC32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____________ 20____ г.</w:t>
            </w:r>
          </w:p>
        </w:tc>
      </w:tr>
    </w:tbl>
    <w:p w:rsidR="00846E92" w:rsidRDefault="00846E92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92" w:rsidRDefault="00846E92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6E92" w:rsidRDefault="00846E92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27D" w:rsidRDefault="00CC327D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327D" w:rsidSect="004873B3">
          <w:pgSz w:w="11905" w:h="16838" w:code="9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>к Порядку определения вида</w:t>
      </w: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>фактического использования</w:t>
      </w: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>зданий (строений, сооружений)</w:t>
      </w: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>и нежилых помещений</w:t>
      </w: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>для целей налогообложения</w:t>
      </w:r>
    </w:p>
    <w:p w:rsidR="00875850" w:rsidRPr="00CC327D" w:rsidRDefault="00875850" w:rsidP="00CC327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75850" w:rsidRPr="00CC327D" w:rsidRDefault="00CC327D" w:rsidP="00CC3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7" w:name="Par487"/>
      <w:bookmarkEnd w:id="27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875850" w:rsidRPr="00CC327D" w:rsidRDefault="00875850" w:rsidP="00CC3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7D" w:rsidRPr="00CC327D" w:rsidRDefault="00CC327D" w:rsidP="00CC3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C327D" w:rsidRDefault="00CC327D" w:rsidP="00CC3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7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A7D5D" w:rsidRPr="00CC327D" w:rsidRDefault="006A7D5D" w:rsidP="00CC3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CC327D">
        <w:rPr>
          <w:rFonts w:ascii="Times New Roman" w:hAnsi="Times New Roman" w:cs="Times New Roman"/>
          <w:color w:val="000000" w:themeColor="text1"/>
          <w:sz w:val="24"/>
          <w:szCs w:val="28"/>
        </w:rPr>
        <w:t>(фамилия, имя, отчество (при наличии)</w:t>
      </w:r>
      <w:proofErr w:type="gramEnd"/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 по месту жительства: 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проживания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документа, удостоверяющего личность (серия и номер, дата выдачи, в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давший орган): 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9 Федерального закона от 27 июля 2006 г. № 152-ФЗ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 даю свое согласие Министерству земельных и имущ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отношений Республики Тыва на обработку моих персональных данных, включающих: фамилию, имя, отчество (при наличии), пол, год, месяц, дату и место рождения, реквизиты документа, удостоверяющего личность, адрес регистрации по месту жительства и фактического проживания, гражданство, контактный телефон, с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средств автоматизации или без использования таких средств,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ние, доступ), обезличивание, блокирование, удаление, уничтожение персональных данных.</w:t>
      </w:r>
      <w:proofErr w:type="gramEnd"/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моих персональных данных может осуществляться в связи с под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чей заявления о проведении обследования здания (строения, сооружения) и нежил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го помещения.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действует до достижения целей обработки персональных данных или в течение срока хранения информации.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может быть мною отозвано в любое время путем напра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ления письменного обращения.</w:t>
      </w:r>
    </w:p>
    <w:p w:rsidR="00CC327D" w:rsidRDefault="00CC327D" w:rsidP="00CC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D5D" w:rsidRPr="00CC327D" w:rsidRDefault="006A7D5D" w:rsidP="00CC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27D" w:rsidRDefault="00CC327D" w:rsidP="00CC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875850" w:rsidRPr="00CC327D" w:rsidRDefault="00CC327D" w:rsidP="00CC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</w:t>
      </w:r>
      <w:r w:rsidRPr="00CC327D">
        <w:rPr>
          <w:rFonts w:ascii="Times New Roman" w:hAnsi="Times New Roman" w:cs="Times New Roman"/>
          <w:color w:val="000000" w:themeColor="text1"/>
          <w:sz w:val="24"/>
          <w:szCs w:val="28"/>
        </w:rPr>
        <w:t>(подпись)</w:t>
      </w:r>
      <w:r w:rsidRPr="00CC327D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</w:t>
      </w:r>
      <w:r w:rsidRPr="00CC327D">
        <w:rPr>
          <w:rFonts w:ascii="Times New Roman" w:hAnsi="Times New Roman" w:cs="Times New Roman"/>
          <w:color w:val="000000" w:themeColor="text1"/>
          <w:sz w:val="24"/>
          <w:szCs w:val="28"/>
        </w:rPr>
        <w:t>(расшифровка подписи)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27D" w:rsidRDefault="00CC327D" w:rsidP="008758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327D" w:rsidSect="004873B3">
          <w:pgSz w:w="11905" w:h="16838" w:code="9"/>
          <w:pgMar w:top="1134" w:right="567" w:bottom="1134" w:left="1134" w:header="680" w:footer="680" w:gutter="0"/>
          <w:pgNumType w:start="1"/>
          <w:cols w:space="720"/>
          <w:noEndnote/>
          <w:titlePg/>
          <w:docGrid w:linePitch="299"/>
        </w:sectPr>
      </w:pP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Приложение № 5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к Порядку определения вида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фактического использования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зданий (строений, сооружений)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и нежилых помещений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для целей налогообложения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Форма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28" w:name="Par519"/>
      <w:bookmarkEnd w:id="28"/>
      <w:r w:rsidRPr="00CC327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CC327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CC327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</w:t>
      </w:r>
    </w:p>
    <w:p w:rsid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обследования здания (строения, сооружения) </w:t>
      </w:r>
    </w:p>
    <w:p w:rsid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и нежилого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помещения по определению 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4"/>
        </w:rPr>
        <w:t>вида фактического использования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27D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объекта)</w:t>
      </w: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27D" w:rsidRPr="00CC327D" w:rsidRDefault="00CC327D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Акт составлен по состоянию на «_____» ____________ 20_____ г.</w:t>
      </w: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заявителя ______________________________________________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юридического лица; Ф.И.О. физического лица, индивидуального предпринимателя</w:t>
      </w:r>
      <w:proofErr w:type="gramStart"/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proofErr w:type="gramEnd"/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="000C2195">
        <w:rPr>
          <w:rFonts w:ascii="Times New Roman" w:hAnsi="Times New Roman" w:cs="Times New Roman"/>
          <w:color w:val="000000" w:themeColor="text1"/>
          <w:sz w:val="24"/>
          <w:szCs w:val="28"/>
        </w:rPr>
        <w:t>у</w:t>
      </w:r>
      <w:proofErr w:type="gramEnd"/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полномоченного представителя заявителя)</w:t>
      </w:r>
    </w:p>
    <w:p w:rsidR="00CC327D" w:rsidRPr="00CC327D" w:rsidRDefault="000C2195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CC327D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0C2195">
        <w:rPr>
          <w:rFonts w:ascii="Times New Roman" w:hAnsi="Times New Roman" w:cs="Times New Roman"/>
          <w:color w:val="000000" w:themeColor="text1"/>
          <w:sz w:val="24"/>
          <w:szCs w:val="28"/>
        </w:rPr>
        <w:t>р</w:t>
      </w: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еквизиты документа, удостоверяющего личность)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(</w:t>
      </w:r>
      <w:r w:rsidR="000C2195">
        <w:rPr>
          <w:rFonts w:ascii="Times New Roman" w:hAnsi="Times New Roman" w:cs="Times New Roman"/>
          <w:color w:val="000000" w:themeColor="text1"/>
          <w:sz w:val="24"/>
          <w:szCs w:val="28"/>
        </w:rPr>
        <w:t>р</w:t>
      </w: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еквизиты документа, удостоверяющие полномочия представителя заявителя)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Подписи лиц, проводивших обследование:</w:t>
      </w: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 (_______________________)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(фамилия И.О.)</w:t>
      </w: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 (_______________________)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327D" w:rsidRPr="000C2195" w:rsidRDefault="00CC327D" w:rsidP="000C219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(фамилия И.О.)</w:t>
      </w:r>
    </w:p>
    <w:p w:rsidR="00CC327D" w:rsidRPr="00CC327D" w:rsidRDefault="00CC327D" w:rsidP="000C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 (_______________________)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0C2195" w:rsidRDefault="00CC327D" w:rsidP="000C219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C2195">
        <w:rPr>
          <w:rFonts w:ascii="Times New Roman" w:hAnsi="Times New Roman" w:cs="Times New Roman"/>
          <w:color w:val="000000" w:themeColor="text1"/>
          <w:sz w:val="24"/>
          <w:szCs w:val="28"/>
        </w:rPr>
        <w:t>(фамилия И.О.)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 обследования: распоряжение Министерства земельных и имущ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отношений Республики Тыва </w:t>
      </w:r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6D4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 №______ </w:t>
      </w:r>
      <w:r w:rsidR="000C21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3D8B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обследования объектов недвижимого имущ</w:t>
      </w:r>
      <w:r w:rsidR="007E46D4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ества для целей налог</w:t>
      </w:r>
      <w:r w:rsidR="007E46D4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E46D4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обложения</w:t>
      </w:r>
      <w:r w:rsidR="00693D8B"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1. Общие сведения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2. Поэтажный план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3. Экспликация к поэтажному плану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Фототаблица</w:t>
      </w:r>
      <w:proofErr w:type="spellEnd"/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5. Описание фактического использования обследуемого объекта недвижимого имущества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Данные расчетов в соответствии с методикой определения вида фактическ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го использования зданий (строений, сооружений) и нежилых помещений для целей налогообложения.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7. Особые отметки.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8. Заключение о фактическом использовании обследуемого объекта недвиж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мого имущества.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9. Подписи членов комиссии.</w:t>
      </w:r>
    </w:p>
    <w:p w:rsidR="00875850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10. Приложение (при наличии).</w:t>
      </w:r>
    </w:p>
    <w:p w:rsidR="00CF58D0" w:rsidRPr="00CC327D" w:rsidRDefault="00CF58D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CF58D0" w:rsidRDefault="00875850" w:rsidP="00CF58D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8D0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</w:t>
      </w:r>
    </w:p>
    <w:p w:rsidR="00CF58D0" w:rsidRPr="00CF58D0" w:rsidRDefault="00CF58D0" w:rsidP="00CF58D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1.1. Адрес (описание местоположения) обследуемого объекта недвижимого имущества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5850" w:rsidRPr="00CC327D" w:rsidRDefault="000E14F9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Тыва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Район ___________________________________________________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Город (село, поселок и т.п.)_________________________________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Улица (проспект, переулок и т.п.) 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Дом (владение)________________________________________________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Корпус (строение)____________________________________________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Офис (помещение)____________________________________________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1.2. Общие сведения об обследуемом объекте недвижимого имущества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(при наличии) ______________________________</w:t>
      </w:r>
      <w:r w:rsidR="00CF58D0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476D0A" w:rsidRPr="00476D0A" w:rsidRDefault="00476D0A" w:rsidP="00476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D0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согласно выписке из Единого государственного реестра недвиж</w:t>
      </w:r>
      <w:r w:rsidRPr="00476D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6D0A">
        <w:rPr>
          <w:rFonts w:ascii="Times New Roman" w:hAnsi="Times New Roman" w:cs="Times New Roman"/>
          <w:color w:val="000000" w:themeColor="text1"/>
          <w:sz w:val="28"/>
          <w:szCs w:val="28"/>
        </w:rPr>
        <w:t>мости или документам технического учета (инвентаризации)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</w:t>
      </w:r>
    </w:p>
    <w:p w:rsidR="00476D0A" w:rsidRPr="00476D0A" w:rsidRDefault="00476D0A" w:rsidP="0047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476D0A" w:rsidRPr="00476D0A" w:rsidRDefault="00476D0A" w:rsidP="0047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76D0A">
        <w:rPr>
          <w:rFonts w:ascii="Times New Roman" w:hAnsi="Times New Roman" w:cs="Times New Roman"/>
          <w:color w:val="000000" w:themeColor="text1"/>
          <w:sz w:val="24"/>
          <w:szCs w:val="28"/>
        </w:rPr>
        <w:t>собственник (собственники)</w:t>
      </w:r>
    </w:p>
    <w:p w:rsidR="00476D0A" w:rsidRPr="00476D0A" w:rsidRDefault="00476D0A" w:rsidP="0047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75850" w:rsidRPr="00476D0A" w:rsidRDefault="00476D0A" w:rsidP="0047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76D0A">
        <w:rPr>
          <w:rFonts w:ascii="Times New Roman" w:hAnsi="Times New Roman" w:cs="Times New Roman"/>
          <w:color w:val="000000" w:themeColor="text1"/>
          <w:sz w:val="24"/>
          <w:szCs w:val="28"/>
        </w:rPr>
        <w:t>правообладатель вещного права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этажей _________________________________________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Общая площадь (</w:t>
      </w:r>
      <w:proofErr w:type="spellStart"/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.), кв. м __________________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Общая полезная нежилая площадь, (</w:t>
      </w:r>
      <w:proofErr w:type="spellStart"/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исп</w:t>
      </w:r>
      <w:proofErr w:type="spell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.), кв. м___________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Площадь помещений общего пользования, (</w:t>
      </w:r>
      <w:proofErr w:type="spellStart"/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proofErr w:type="spell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.), кв. м 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1.3. Общие сведения о земельном участке, на котором расположен обследу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мый объект недвижимого имущества</w:t>
      </w:r>
      <w:r w:rsidR="00F873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(при наличии)_____________________________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__________________________________________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Площадь, кв. м __________________________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земельного участка 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Вид разрешенного использования 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1.4. Основание проведения мероприятия (ненужное исключить):</w:t>
      </w:r>
    </w:p>
    <w:p w:rsidR="00476D0A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мероприятие по определению вида фактического использования зданий (строений, сооружений) и нежилых помещений для целей налогообложения (далее именуется 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мероприятие) проводится на основании 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875850" w:rsidRPr="00CC327D" w:rsidRDefault="00875850" w:rsidP="00476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476D0A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_____;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повторное проведение мероприятия по определению вида фактического </w:t>
      </w:r>
      <w:r w:rsidR="001144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зданий (строений, сооружений) и нежилых помещений для целей налогообложения в связи с заявлением _________________________ правообладат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ля объекта нежилого фонда, не согласного с результатами проведенного меропри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тия, о пересмотре вида фактического использования объекта недвижимого имущ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ства;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3) мероприятие по определению вида фактического использования зданий (строений, сооружений) и нежилых помещений для целей налогообложения, пров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дено в связи с заявлением правообладателя объекта нежилого фонда об исключении его из перечня объектов недвижимого имущества, в отношении которых налоговая база определяется как кадастровая стоимость, в связи с изменением вида фактич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ского использования здания (строения, сооружения) и нежилого помещения;</w:t>
      </w:r>
      <w:proofErr w:type="gramEnd"/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4) мероприятие по определению вида фактического использования зданий (строений, сооружений) и нежилых помещений для целей налогообложения пров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дено в связи с заявлением __________________________ правообладателя объекта нежилого фонда об исключении его из перечня объектов недвижимого имущества, в отношении которых налоговая база определяется как кадастровая стоимость, в сл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 фактического использования по указанному в </w:t>
      </w:r>
      <w:hyperlink r:id="rId31" w:history="1">
        <w:r w:rsidRPr="00CC32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378.2</w:t>
        </w:r>
      </w:hyperlink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 назначению менее 20 процентов общей</w:t>
      </w:r>
      <w:proofErr w:type="gramEnd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объекта н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движимого имущества.</w:t>
      </w: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2. Поэтажный план</w:t>
      </w:r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3. Экспликация к поэтажному плану</w:t>
      </w:r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Фототаблица</w:t>
      </w:r>
      <w:proofErr w:type="spellEnd"/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416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Описание фактического использования </w:t>
      </w:r>
    </w:p>
    <w:p w:rsidR="00875850" w:rsidRPr="00CC327D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27D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обследуемого объекта недвижимого имущества</w:t>
      </w:r>
    </w:p>
    <w:p w:rsidR="00875850" w:rsidRPr="00CC327D" w:rsidRDefault="00875850" w:rsidP="00CC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928"/>
        <w:gridCol w:w="2041"/>
      </w:tblGrid>
      <w:tr w:rsidR="00875850" w:rsidRPr="008F4BA5" w:rsidTr="00114416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114416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08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нежилого помещения </w:t>
            </w:r>
          </w:p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(позиция, номер на этаже, номер эт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жа, литера и т.п.)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</w:t>
            </w:r>
          </w:p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08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</w:p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</w:p>
        </w:tc>
      </w:tr>
      <w:tr w:rsidR="00875850" w:rsidRPr="008F4BA5" w:rsidTr="00114416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5850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Pr="00114416" w:rsidRDefault="00114416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14416" w:rsidRDefault="00875850" w:rsidP="00114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1441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6. Данные расчетов в соответствии с методикой определения</w:t>
      </w:r>
    </w:p>
    <w:p w:rsidR="00114416" w:rsidRDefault="00875850" w:rsidP="00114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1441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вида фактического использования зданий (строений, сооружений) </w:t>
      </w:r>
    </w:p>
    <w:p w:rsidR="00875850" w:rsidRPr="00114416" w:rsidRDefault="00875850" w:rsidP="00114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14416">
        <w:rPr>
          <w:rFonts w:ascii="Times New Roman" w:hAnsi="Times New Roman" w:cs="Times New Roman"/>
          <w:color w:val="000000" w:themeColor="text1"/>
          <w:sz w:val="28"/>
          <w:szCs w:val="24"/>
        </w:rPr>
        <w:t>и нежилых помещений для целей налогообложения</w:t>
      </w:r>
    </w:p>
    <w:p w:rsidR="00875850" w:rsidRPr="00114416" w:rsidRDefault="00875850" w:rsidP="0011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jc w:val="center"/>
        <w:tblInd w:w="-36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8"/>
        <w:gridCol w:w="1587"/>
        <w:gridCol w:w="1304"/>
        <w:gridCol w:w="1304"/>
        <w:gridCol w:w="2724"/>
      </w:tblGrid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фактической пл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щади обследуемого об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 недвижимого им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щества в общей площади объекта недвижимого имущества, процентов</w:t>
            </w:r>
          </w:p>
        </w:tc>
      </w:tr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площадь о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следуемого объекта н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движимого имущества, используемая для разм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офисов и офисной инфраструктуры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proofErr w:type="gram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  <w:proofErr w:type="spell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.-оф.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площадь о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следуемого объекта н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движимого имущества, используемая для разм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торговых объектов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Sфакт</w:t>
            </w:r>
            <w:proofErr w:type="spellEnd"/>
            <w:proofErr w:type="gram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площадь о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следуемого объекта н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движимого имущества, используемая для разм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объектов общ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Sфакт</w:t>
            </w:r>
            <w:proofErr w:type="spellEnd"/>
            <w:proofErr w:type="gram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площадь о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следуемого объекта н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движимого имущества, используемая для разм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объектов бытового обслуживания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Sфакт</w:t>
            </w:r>
            <w:proofErr w:type="spellEnd"/>
            <w:proofErr w:type="gram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850" w:rsidRPr="008F4BA5" w:rsidTr="00A6119B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площадь о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следуемого объекта н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движимого имущества, используемая для разм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офисов и офисной инфраструктуры, торговых объектов, объектов общ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питания и об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бытового обслуж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Sобщ</w:t>
            </w:r>
            <w:proofErr w:type="spellEnd"/>
            <w:proofErr w:type="gramStart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50" w:rsidRPr="008F4BA5" w:rsidRDefault="00875850" w:rsidP="0011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5850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19B" w:rsidRP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5850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19B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7. Особые отметки</w:t>
      </w:r>
    </w:p>
    <w:p w:rsidR="00A6119B" w:rsidRP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6119B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19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8. Заключение о виде фактического использования </w:t>
      </w:r>
    </w:p>
    <w:p w:rsidR="00875850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19B">
        <w:rPr>
          <w:rFonts w:ascii="Times New Roman" w:hAnsi="Times New Roman" w:cs="Times New Roman"/>
          <w:color w:val="000000" w:themeColor="text1"/>
          <w:sz w:val="28"/>
          <w:szCs w:val="24"/>
        </w:rPr>
        <w:t>обследуемого объекта недвижимого имущества</w:t>
      </w:r>
    </w:p>
    <w:p w:rsidR="00A6119B" w:rsidRPr="00A6119B" w:rsidRDefault="00A6119B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5850" w:rsidRPr="00A6119B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19B">
        <w:rPr>
          <w:rFonts w:ascii="Times New Roman" w:hAnsi="Times New Roman" w:cs="Times New Roman"/>
          <w:color w:val="000000" w:themeColor="text1"/>
          <w:sz w:val="28"/>
          <w:szCs w:val="24"/>
        </w:rPr>
        <w:t>9. Подписи членов комиссии:</w:t>
      </w:r>
    </w:p>
    <w:p w:rsidR="00875850" w:rsidRPr="00A6119B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7"/>
        <w:gridCol w:w="4592"/>
      </w:tblGrid>
      <w:tr w:rsidR="00875850" w:rsidRPr="00A6119B" w:rsidTr="00A6119B">
        <w:trPr>
          <w:jc w:val="center"/>
        </w:trPr>
        <w:tc>
          <w:tcPr>
            <w:tcW w:w="4427" w:type="dxa"/>
          </w:tcPr>
          <w:p w:rsidR="00875850" w:rsidRPr="00A6119B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6119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_____________________</w:t>
            </w:r>
          </w:p>
          <w:p w:rsidR="00875850" w:rsidRPr="00A6119B" w:rsidRDefault="00787E4C" w:rsidP="00787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75850" w:rsidRPr="00A6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75850" w:rsidRPr="00A6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должность)</w:t>
            </w:r>
          </w:p>
        </w:tc>
        <w:tc>
          <w:tcPr>
            <w:tcW w:w="4592" w:type="dxa"/>
          </w:tcPr>
          <w:p w:rsidR="00875850" w:rsidRPr="00A6119B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6119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_______________</w:t>
            </w:r>
          </w:p>
          <w:p w:rsidR="00875850" w:rsidRPr="00A6119B" w:rsidRDefault="00875850" w:rsidP="0028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A61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875850" w:rsidRPr="008F4BA5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850" w:rsidRPr="008F4BA5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BA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A6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8F4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</w:t>
      </w:r>
      <w:r w:rsidR="00A6119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875850" w:rsidRPr="00A6119B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5850" w:rsidRPr="00A6119B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6119B">
        <w:rPr>
          <w:rFonts w:ascii="Times New Roman" w:hAnsi="Times New Roman" w:cs="Times New Roman"/>
          <w:color w:val="000000" w:themeColor="text1"/>
          <w:sz w:val="28"/>
          <w:szCs w:val="24"/>
        </w:rPr>
        <w:t>10. Приложение (при наличии)</w:t>
      </w:r>
    </w:p>
    <w:p w:rsidR="00875850" w:rsidRPr="00A6119B" w:rsidRDefault="00875850" w:rsidP="00A61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875850" w:rsidRPr="008F4BA5" w:rsidRDefault="00875850" w:rsidP="00875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850" w:rsidRPr="008F4BA5" w:rsidRDefault="00875850" w:rsidP="00875850">
      <w:pPr>
        <w:rPr>
          <w:color w:val="000000" w:themeColor="text1"/>
        </w:rPr>
      </w:pPr>
    </w:p>
    <w:p w:rsidR="00974705" w:rsidRPr="00875850" w:rsidRDefault="00974705" w:rsidP="00875850"/>
    <w:sectPr w:rsidR="00974705" w:rsidRPr="00875850" w:rsidSect="004873B3">
      <w:pgSz w:w="11905" w:h="16838" w:code="9"/>
      <w:pgMar w:top="1134" w:right="567" w:bottom="1134" w:left="1134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CC" w:rsidRDefault="00FE66CC" w:rsidP="004873B3">
      <w:pPr>
        <w:spacing w:after="0" w:line="240" w:lineRule="auto"/>
      </w:pPr>
      <w:r>
        <w:separator/>
      </w:r>
    </w:p>
  </w:endnote>
  <w:endnote w:type="continuationSeparator" w:id="0">
    <w:p w:rsidR="00FE66CC" w:rsidRDefault="00FE66CC" w:rsidP="0048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CC" w:rsidRDefault="00FE66CC" w:rsidP="004873B3">
      <w:pPr>
        <w:spacing w:after="0" w:line="240" w:lineRule="auto"/>
      </w:pPr>
      <w:r>
        <w:separator/>
      </w:r>
    </w:p>
  </w:footnote>
  <w:footnote w:type="continuationSeparator" w:id="0">
    <w:p w:rsidR="00FE66CC" w:rsidRDefault="00FE66CC" w:rsidP="0048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329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0D69" w:rsidRPr="004873B3" w:rsidRDefault="00C943F8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43F8" w:rsidRPr="00C943F8" w:rsidRDefault="00C943F8" w:rsidP="00C943F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620200099/27851(5)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C943F8" w:rsidRPr="00C943F8" w:rsidRDefault="00C943F8" w:rsidP="00C943F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620200099/27851(5)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00D69" w:rsidRPr="004873B3">
          <w:rPr>
            <w:rFonts w:ascii="Times New Roman" w:hAnsi="Times New Roman" w:cs="Times New Roman"/>
            <w:sz w:val="24"/>
          </w:rPr>
          <w:fldChar w:fldCharType="begin"/>
        </w:r>
        <w:r w:rsidR="00400D69" w:rsidRPr="004873B3">
          <w:rPr>
            <w:rFonts w:ascii="Times New Roman" w:hAnsi="Times New Roman" w:cs="Times New Roman"/>
            <w:sz w:val="24"/>
          </w:rPr>
          <w:instrText>PAGE   \* MERGEFORMAT</w:instrText>
        </w:r>
        <w:r w:rsidR="00400D69" w:rsidRPr="004873B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00D69" w:rsidRPr="004873B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E98"/>
    <w:multiLevelType w:val="hybridMultilevel"/>
    <w:tmpl w:val="8D52E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33B7"/>
    <w:multiLevelType w:val="hybridMultilevel"/>
    <w:tmpl w:val="730CF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F71A39"/>
    <w:multiLevelType w:val="multilevel"/>
    <w:tmpl w:val="E70E990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3B6418ED"/>
    <w:multiLevelType w:val="hybridMultilevel"/>
    <w:tmpl w:val="2640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26CB6"/>
    <w:multiLevelType w:val="hybridMultilevel"/>
    <w:tmpl w:val="94DAEC06"/>
    <w:lvl w:ilvl="0" w:tplc="BE0A3AB2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2007" w:hanging="360"/>
      </w:pPr>
    </w:lvl>
    <w:lvl w:ilvl="2" w:tplc="0444001B" w:tentative="1">
      <w:start w:val="1"/>
      <w:numFmt w:val="lowerRoman"/>
      <w:lvlText w:val="%3."/>
      <w:lvlJc w:val="right"/>
      <w:pPr>
        <w:ind w:left="2727" w:hanging="180"/>
      </w:pPr>
    </w:lvl>
    <w:lvl w:ilvl="3" w:tplc="0444000F" w:tentative="1">
      <w:start w:val="1"/>
      <w:numFmt w:val="decimal"/>
      <w:lvlText w:val="%4."/>
      <w:lvlJc w:val="left"/>
      <w:pPr>
        <w:ind w:left="3447" w:hanging="360"/>
      </w:pPr>
    </w:lvl>
    <w:lvl w:ilvl="4" w:tplc="04440019" w:tentative="1">
      <w:start w:val="1"/>
      <w:numFmt w:val="lowerLetter"/>
      <w:lvlText w:val="%5."/>
      <w:lvlJc w:val="left"/>
      <w:pPr>
        <w:ind w:left="4167" w:hanging="360"/>
      </w:pPr>
    </w:lvl>
    <w:lvl w:ilvl="5" w:tplc="0444001B" w:tentative="1">
      <w:start w:val="1"/>
      <w:numFmt w:val="lowerRoman"/>
      <w:lvlText w:val="%6."/>
      <w:lvlJc w:val="right"/>
      <w:pPr>
        <w:ind w:left="4887" w:hanging="180"/>
      </w:pPr>
    </w:lvl>
    <w:lvl w:ilvl="6" w:tplc="0444000F" w:tentative="1">
      <w:start w:val="1"/>
      <w:numFmt w:val="decimal"/>
      <w:lvlText w:val="%7."/>
      <w:lvlJc w:val="left"/>
      <w:pPr>
        <w:ind w:left="5607" w:hanging="360"/>
      </w:pPr>
    </w:lvl>
    <w:lvl w:ilvl="7" w:tplc="04440019" w:tentative="1">
      <w:start w:val="1"/>
      <w:numFmt w:val="lowerLetter"/>
      <w:lvlText w:val="%8."/>
      <w:lvlJc w:val="left"/>
      <w:pPr>
        <w:ind w:left="6327" w:hanging="360"/>
      </w:pPr>
    </w:lvl>
    <w:lvl w:ilvl="8" w:tplc="044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F15E9"/>
    <w:multiLevelType w:val="hybridMultilevel"/>
    <w:tmpl w:val="A63A85DC"/>
    <w:lvl w:ilvl="0" w:tplc="8BC0B6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25938"/>
    <w:multiLevelType w:val="hybridMultilevel"/>
    <w:tmpl w:val="DD14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7BCD66A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322D6"/>
    <w:multiLevelType w:val="hybridMultilevel"/>
    <w:tmpl w:val="3A541E5C"/>
    <w:lvl w:ilvl="0" w:tplc="A0268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664AD2"/>
    <w:multiLevelType w:val="hybridMultilevel"/>
    <w:tmpl w:val="2CFC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711B5"/>
    <w:multiLevelType w:val="multilevel"/>
    <w:tmpl w:val="59DCD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3E03796"/>
    <w:multiLevelType w:val="hybridMultilevel"/>
    <w:tmpl w:val="0B40F900"/>
    <w:lvl w:ilvl="0" w:tplc="BE0A3AB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647" w:hanging="360"/>
      </w:pPr>
    </w:lvl>
    <w:lvl w:ilvl="2" w:tplc="0444001B" w:tentative="1">
      <w:start w:val="1"/>
      <w:numFmt w:val="lowerRoman"/>
      <w:lvlText w:val="%3."/>
      <w:lvlJc w:val="right"/>
      <w:pPr>
        <w:ind w:left="2367" w:hanging="180"/>
      </w:pPr>
    </w:lvl>
    <w:lvl w:ilvl="3" w:tplc="0444000F" w:tentative="1">
      <w:start w:val="1"/>
      <w:numFmt w:val="decimal"/>
      <w:lvlText w:val="%4."/>
      <w:lvlJc w:val="left"/>
      <w:pPr>
        <w:ind w:left="3087" w:hanging="360"/>
      </w:pPr>
    </w:lvl>
    <w:lvl w:ilvl="4" w:tplc="04440019" w:tentative="1">
      <w:start w:val="1"/>
      <w:numFmt w:val="lowerLetter"/>
      <w:lvlText w:val="%5."/>
      <w:lvlJc w:val="left"/>
      <w:pPr>
        <w:ind w:left="3807" w:hanging="360"/>
      </w:pPr>
    </w:lvl>
    <w:lvl w:ilvl="5" w:tplc="0444001B" w:tentative="1">
      <w:start w:val="1"/>
      <w:numFmt w:val="lowerRoman"/>
      <w:lvlText w:val="%6."/>
      <w:lvlJc w:val="right"/>
      <w:pPr>
        <w:ind w:left="4527" w:hanging="180"/>
      </w:pPr>
    </w:lvl>
    <w:lvl w:ilvl="6" w:tplc="0444000F" w:tentative="1">
      <w:start w:val="1"/>
      <w:numFmt w:val="decimal"/>
      <w:lvlText w:val="%7."/>
      <w:lvlJc w:val="left"/>
      <w:pPr>
        <w:ind w:left="5247" w:hanging="360"/>
      </w:pPr>
    </w:lvl>
    <w:lvl w:ilvl="7" w:tplc="04440019" w:tentative="1">
      <w:start w:val="1"/>
      <w:numFmt w:val="lowerLetter"/>
      <w:lvlText w:val="%8."/>
      <w:lvlJc w:val="left"/>
      <w:pPr>
        <w:ind w:left="5967" w:hanging="360"/>
      </w:pPr>
    </w:lvl>
    <w:lvl w:ilvl="8" w:tplc="044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a5774c2-c67f-4e5e-834e-4dae7fcf7f24"/>
  </w:docVars>
  <w:rsids>
    <w:rsidRoot w:val="00330476"/>
    <w:rsid w:val="000B03C8"/>
    <w:rsid w:val="000C2195"/>
    <w:rsid w:val="000E14F9"/>
    <w:rsid w:val="000E458F"/>
    <w:rsid w:val="00114416"/>
    <w:rsid w:val="00142CAB"/>
    <w:rsid w:val="00150BF7"/>
    <w:rsid w:val="0018679B"/>
    <w:rsid w:val="00191C9F"/>
    <w:rsid w:val="0028193B"/>
    <w:rsid w:val="002A6970"/>
    <w:rsid w:val="002B24D6"/>
    <w:rsid w:val="00330476"/>
    <w:rsid w:val="003C4C9B"/>
    <w:rsid w:val="003F3D0E"/>
    <w:rsid w:val="00400D69"/>
    <w:rsid w:val="00412DA9"/>
    <w:rsid w:val="0043022D"/>
    <w:rsid w:val="00476D0A"/>
    <w:rsid w:val="004873B3"/>
    <w:rsid w:val="004C2464"/>
    <w:rsid w:val="0051066E"/>
    <w:rsid w:val="005508AF"/>
    <w:rsid w:val="00563215"/>
    <w:rsid w:val="00587517"/>
    <w:rsid w:val="005D0639"/>
    <w:rsid w:val="005E2A99"/>
    <w:rsid w:val="00613F0A"/>
    <w:rsid w:val="00653F57"/>
    <w:rsid w:val="00670F19"/>
    <w:rsid w:val="0068578F"/>
    <w:rsid w:val="00693D8B"/>
    <w:rsid w:val="006A7D5D"/>
    <w:rsid w:val="006D37F5"/>
    <w:rsid w:val="00706F09"/>
    <w:rsid w:val="0073700F"/>
    <w:rsid w:val="00787E4C"/>
    <w:rsid w:val="007E46D4"/>
    <w:rsid w:val="007F2824"/>
    <w:rsid w:val="00815C69"/>
    <w:rsid w:val="00846E92"/>
    <w:rsid w:val="00875850"/>
    <w:rsid w:val="00891075"/>
    <w:rsid w:val="00892098"/>
    <w:rsid w:val="00892332"/>
    <w:rsid w:val="009166AD"/>
    <w:rsid w:val="00941714"/>
    <w:rsid w:val="00962C7C"/>
    <w:rsid w:val="00972A84"/>
    <w:rsid w:val="00974705"/>
    <w:rsid w:val="00991536"/>
    <w:rsid w:val="00A6119B"/>
    <w:rsid w:val="00A845A9"/>
    <w:rsid w:val="00AC2ACD"/>
    <w:rsid w:val="00AD6AC3"/>
    <w:rsid w:val="00B0737D"/>
    <w:rsid w:val="00B8069D"/>
    <w:rsid w:val="00B832EF"/>
    <w:rsid w:val="00BE09CE"/>
    <w:rsid w:val="00C64415"/>
    <w:rsid w:val="00C81701"/>
    <w:rsid w:val="00C943F8"/>
    <w:rsid w:val="00CC327D"/>
    <w:rsid w:val="00CD2A43"/>
    <w:rsid w:val="00CF58D0"/>
    <w:rsid w:val="00D01E71"/>
    <w:rsid w:val="00D31DF9"/>
    <w:rsid w:val="00D509F8"/>
    <w:rsid w:val="00D648D6"/>
    <w:rsid w:val="00D72E80"/>
    <w:rsid w:val="00DD3C44"/>
    <w:rsid w:val="00E22D58"/>
    <w:rsid w:val="00E50504"/>
    <w:rsid w:val="00E834C3"/>
    <w:rsid w:val="00E974B3"/>
    <w:rsid w:val="00ED5347"/>
    <w:rsid w:val="00EE169C"/>
    <w:rsid w:val="00F01775"/>
    <w:rsid w:val="00F201D2"/>
    <w:rsid w:val="00F2201C"/>
    <w:rsid w:val="00F37F24"/>
    <w:rsid w:val="00F46CCC"/>
    <w:rsid w:val="00F67674"/>
    <w:rsid w:val="00F87308"/>
    <w:rsid w:val="00F93690"/>
    <w:rsid w:val="00FC4DB5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2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C7C"/>
    <w:pPr>
      <w:ind w:left="720"/>
      <w:contextualSpacing/>
    </w:pPr>
  </w:style>
  <w:style w:type="paragraph" w:customStyle="1" w:styleId="ConsPlusNormal">
    <w:name w:val="ConsPlusNormal"/>
    <w:rsid w:val="009747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47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7370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4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73B3"/>
  </w:style>
  <w:style w:type="paragraph" w:styleId="aa">
    <w:name w:val="footer"/>
    <w:basedOn w:val="a"/>
    <w:link w:val="ab"/>
    <w:uiPriority w:val="99"/>
    <w:unhideWhenUsed/>
    <w:rsid w:val="0048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7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4C2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C7C"/>
    <w:pPr>
      <w:ind w:left="720"/>
      <w:contextualSpacing/>
    </w:pPr>
  </w:style>
  <w:style w:type="paragraph" w:customStyle="1" w:styleId="ConsPlusNormal">
    <w:name w:val="ConsPlusNormal"/>
    <w:rsid w:val="009747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747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7370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4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73B3"/>
  </w:style>
  <w:style w:type="paragraph" w:styleId="aa">
    <w:name w:val="footer"/>
    <w:basedOn w:val="a"/>
    <w:link w:val="ab"/>
    <w:uiPriority w:val="99"/>
    <w:unhideWhenUsed/>
    <w:rsid w:val="0048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1E84406AF354D0403DA3A5C26DE6C6D9A5F2921AA40A7DDCD5E537ACC4C9D879DD49151A96F4D1AD9997FCC5C33C5A8929D00D194A3DSCI" TargetMode="External"/><Relationship Id="rId18" Type="http://schemas.openxmlformats.org/officeDocument/2006/relationships/hyperlink" Target="consultantplus://offline/ref=E31E84406AF354D0403DA3A5C26DE6C6D9A5F2921AA40A7DDCD5E537ACC4C9D879DD49151A97F1D1AD9997FCC5C33C5A8929D00D194A3DSCI" TargetMode="External"/><Relationship Id="rId26" Type="http://schemas.openxmlformats.org/officeDocument/2006/relationships/hyperlink" Target="consultantplus://offline/ref=E31E84406AF354D0403DA3A5C26DE6C6D9A5F2921AA40A7DDCD5E537ACC4C9D879DD491D1B9FFED8F29C82ED9DCC3943972BCC111B48DD30S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1E84406AF354D0403DA3A5C26DE6C6D9A5F2921AA40A7DDCD5E537ACC4C9D879DD49151A96F1D1AD9997FCC5C33C5A8929D00D194A3DS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E84406AF354D0403DA3A5C26DE6C6D9A5F2921AA40A7DDCD5E537ACC4C9D879DD491D1B95F1D8F29C82ED9DCC3943972BCC111B48DD30S1I" TargetMode="External"/><Relationship Id="rId17" Type="http://schemas.openxmlformats.org/officeDocument/2006/relationships/hyperlink" Target="consultantplus://offline/ref=E31E84406AF354D0403DA3A5C26DE6C6D9A5F2921AA40A7DDCD5E537ACC4C9D879DD49151A96F1D1AD9997FCC5C33C5A8929D00D194A3DSCI" TargetMode="External"/><Relationship Id="rId25" Type="http://schemas.openxmlformats.org/officeDocument/2006/relationships/hyperlink" Target="consultantplus://offline/ref=E31E84406AF354D0403DA3A5C26DE6C6D9A5F2921AA40A7DDCD5E537ACC4C9D879DD49151A96F4D1AD9997FCC5C33C5A8929D00D194A3DSC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E84406AF354D0403DA3A5C26DE6C6D9A5F2921AA40A7DDCD5E537ACC4C9D879DD49151A97F1D1AD9997FCC5C33C5A8929D00D194A3DSCI" TargetMode="External"/><Relationship Id="rId20" Type="http://schemas.openxmlformats.org/officeDocument/2006/relationships/hyperlink" Target="consultantplus://offline/ref=E31E84406AF354D0403DA3A5C26DE6C6D9A5F2921AA40A7DDCD5E537ACC4C9D879DD49151A97F1D1AD9997FCC5C33C5A8929D00D194A3DSCI" TargetMode="External"/><Relationship Id="rId29" Type="http://schemas.openxmlformats.org/officeDocument/2006/relationships/hyperlink" Target="consultantplus://offline/ref=E31E84406AF354D0403DA3A5C26DE6C6D9A5F2921AA40A7DDCD5E537ACC4C9D879DD49151A97F1D1AD9997FCC5C33C5A8929D00D194A3DS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1E84406AF354D0403DA3A5C26DE6C6D9A5F2921AA40A7DDCD5E537ACC4C9D879DD49151A97FFD1AD9997FCC5C33C5A8929D00D194A3DSCI" TargetMode="External"/><Relationship Id="rId24" Type="http://schemas.openxmlformats.org/officeDocument/2006/relationships/hyperlink" Target="consultantplus://offline/ref=E31E84406AF354D0403DA3A5C26DE6C6D9A5F2921AA40A7DDCD5E537ACC4C9D879DD49151A97F1D1AD9997FCC5C33C5A8929D00D194A3DSC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1E84406AF354D0403DA3A5C26DE6C6D9A5F2921AA40A7DDCD5E537ACC4C9D879DD49151A96F1D1AD9997FCC5C33C5A8929D00D194A3DSCI" TargetMode="External"/><Relationship Id="rId23" Type="http://schemas.openxmlformats.org/officeDocument/2006/relationships/hyperlink" Target="consultantplus://offline/ref=E31E84406AF354D0403DA3A5C26DE6C6D9A5F2921AA40A7DDCD5E537ACC4C9D879DD49151A96F1D1AD9997FCC5C33C5A8929D00D194A3DSCI" TargetMode="External"/><Relationship Id="rId28" Type="http://schemas.openxmlformats.org/officeDocument/2006/relationships/hyperlink" Target="consultantplus://offline/ref=E31E84406AF354D0403DA3A5C26DE6C6D9A5F2921AA40A7DDCD5E537ACC4C9D879DD49151A96F1D1AD9997FCC5C33C5A8929D00D194A3DSC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E31E84406AF354D0403DA3A5C26DE6C6D9A5F2921AA40A7DDCD5E537ACC4C9D879DD49151A96F1D1AD9997FCC5C33C5A8929D00D194A3DSCI" TargetMode="External"/><Relationship Id="rId31" Type="http://schemas.openxmlformats.org/officeDocument/2006/relationships/hyperlink" Target="consultantplus://offline/ref=E31E84406AF354D0403DA3A5C26DE6C6D9A5F2921AA40A7DDCD5E537ACC4C9D879DD49151A96F6D1AD9997FCC5C33C5A8929D00D194A3DS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1E84406AF354D0403DA3A5C26DE6C6D9A5F2921AA40A7DDCD5E537ACC4C9D879DD491D1B95F1D8F29C82ED9DCC3943972BCC111B48DD30S1I" TargetMode="External"/><Relationship Id="rId14" Type="http://schemas.openxmlformats.org/officeDocument/2006/relationships/hyperlink" Target="consultantplus://offline/ref=E31E84406AF354D0403DA3A5C26DE6C6D9A5F2921AA40A7DDCD5E537ACC4C9D879DD491D1B9FFED8F29C82ED9DCC3943972BCC111B48DD30S1I" TargetMode="External"/><Relationship Id="rId22" Type="http://schemas.openxmlformats.org/officeDocument/2006/relationships/hyperlink" Target="consultantplus://offline/ref=E31E84406AF354D0403DA3A5C26DE6C6D9A5F2921AA40A7DDCD5E537ACC4C9D879DD49151A97F1D1AD9997FCC5C33C5A8929D00D194A3DSCI" TargetMode="External"/><Relationship Id="rId27" Type="http://schemas.openxmlformats.org/officeDocument/2006/relationships/hyperlink" Target="consultantplus://offline/ref=E31E84406AF354D0403DA3A5C26DE6C6DEA3F39E16A30A7DDCD5E537ACC4C9D86BDD11111A91E8DAFBD6D1A9CA3CS2I" TargetMode="External"/><Relationship Id="rId30" Type="http://schemas.openxmlformats.org/officeDocument/2006/relationships/hyperlink" Target="consultantplus://offline/ref=E31E84406AF354D0403DA3A5C26DE6C6D9A7FB9E11A20A7DDCD5E537ACC4C9D86BDD11111A91E8DAFBD6D1A9CA3C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8791-8C13-4E63-8303-FA8C74F0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10591</Words>
  <Characters>60371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Minzem03</dc:creator>
  <cp:lastModifiedBy>Грецких О.П.</cp:lastModifiedBy>
  <cp:revision>2</cp:revision>
  <cp:lastPrinted>2023-11-01T03:59:00Z</cp:lastPrinted>
  <dcterms:created xsi:type="dcterms:W3CDTF">2023-11-01T03:59:00Z</dcterms:created>
  <dcterms:modified xsi:type="dcterms:W3CDTF">2023-11-01T03:59:00Z</dcterms:modified>
</cp:coreProperties>
</file>